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9B54" w14:textId="128B20B4" w:rsidR="00406BBC" w:rsidRDefault="00406BBC" w:rsidP="008D0206">
      <w:pPr>
        <w:pStyle w:val="BATitle"/>
        <w:rPr>
          <w:rFonts w:asciiTheme="minorHAnsi" w:hAnsiTheme="minorHAnsi" w:cstheme="minorHAnsi"/>
          <w:sz w:val="22"/>
          <w:szCs w:val="22"/>
        </w:rPr>
      </w:pPr>
      <w:bookmarkStart w:id="0" w:name="_Hlk92724840"/>
      <w:bookmarkStart w:id="1" w:name="_Hlk101880691"/>
      <w:r>
        <w:rPr>
          <w:rFonts w:asciiTheme="minorHAnsi" w:hAnsiTheme="minorHAnsi" w:cstheme="minorHAnsi"/>
          <w:sz w:val="22"/>
          <w:szCs w:val="22"/>
        </w:rPr>
        <w:t>Research data for paper entitled “</w:t>
      </w:r>
      <w:r w:rsidRPr="00184539">
        <w:rPr>
          <w:rFonts w:asciiTheme="minorHAnsi" w:hAnsiTheme="minorHAnsi" w:cstheme="minorHAnsi"/>
          <w:sz w:val="22"/>
          <w:szCs w:val="22"/>
        </w:rPr>
        <w:t xml:space="preserve">Insights into post-growth doping and proposals for </w:t>
      </w:r>
      <w:proofErr w:type="spellStart"/>
      <w:proofErr w:type="gramStart"/>
      <w:r w:rsidRPr="00184539">
        <w:rPr>
          <w:rFonts w:asciiTheme="minorHAnsi" w:hAnsiTheme="minorHAnsi" w:cstheme="minorHAnsi"/>
          <w:sz w:val="22"/>
          <w:szCs w:val="22"/>
        </w:rPr>
        <w:t>CdTe:In</w:t>
      </w:r>
      <w:proofErr w:type="spellEnd"/>
      <w:proofErr w:type="gramEnd"/>
      <w:r w:rsidRPr="00184539">
        <w:rPr>
          <w:rFonts w:asciiTheme="minorHAnsi" w:hAnsiTheme="minorHAnsi" w:cstheme="minorHAnsi"/>
          <w:sz w:val="22"/>
          <w:szCs w:val="22"/>
        </w:rPr>
        <w:t xml:space="preserve"> photovoltaic devices</w:t>
      </w:r>
      <w:r>
        <w:rPr>
          <w:rFonts w:asciiTheme="minorHAnsi" w:hAnsiTheme="minorHAnsi" w:cstheme="minorHAnsi"/>
          <w:sz w:val="22"/>
          <w:szCs w:val="22"/>
        </w:rPr>
        <w:t>”</w:t>
      </w:r>
    </w:p>
    <w:p w14:paraId="7E7258B4" w14:textId="03C1DDE4" w:rsidR="00406BBC" w:rsidRPr="00406BBC" w:rsidRDefault="00406BBC" w:rsidP="00406BBC">
      <w:pPr>
        <w:pStyle w:val="BBAuthorName"/>
        <w:rPr>
          <w:rFonts w:asciiTheme="minorHAnsi" w:hAnsiTheme="minorHAnsi" w:cstheme="minorHAnsi"/>
          <w:szCs w:val="24"/>
        </w:rPr>
      </w:pPr>
    </w:p>
    <w:p w14:paraId="3F6A27E7" w14:textId="0C7996F3" w:rsidR="00406BBC" w:rsidRPr="00406BBC" w:rsidRDefault="00406BBC" w:rsidP="00406BBC">
      <w:pPr>
        <w:pStyle w:val="BCAuthorAddress"/>
        <w:rPr>
          <w:rFonts w:asciiTheme="minorHAnsi" w:hAnsiTheme="minorHAnsi" w:cstheme="minorHAnsi"/>
          <w:sz w:val="24"/>
          <w:szCs w:val="24"/>
        </w:rPr>
      </w:pPr>
      <w:r w:rsidRPr="00406BBC">
        <w:rPr>
          <w:rFonts w:asciiTheme="minorHAnsi" w:hAnsiTheme="minorHAnsi" w:cstheme="minorHAnsi"/>
          <w:sz w:val="24"/>
          <w:szCs w:val="24"/>
        </w:rPr>
        <w:t xml:space="preserve">The paper has been submitted to </w:t>
      </w:r>
      <w:proofErr w:type="spellStart"/>
      <w:r w:rsidRPr="00406BBC">
        <w:rPr>
          <w:rFonts w:asciiTheme="minorHAnsi" w:hAnsiTheme="minorHAnsi" w:cstheme="minorHAnsi"/>
          <w:sz w:val="24"/>
          <w:szCs w:val="24"/>
        </w:rPr>
        <w:t>IoP</w:t>
      </w:r>
      <w:proofErr w:type="spellEnd"/>
      <w:r w:rsidRPr="00406BBC">
        <w:rPr>
          <w:rFonts w:asciiTheme="minorHAnsi" w:hAnsiTheme="minorHAnsi" w:cstheme="minorHAnsi"/>
          <w:sz w:val="24"/>
          <w:szCs w:val="24"/>
        </w:rPr>
        <w:t xml:space="preserve"> J Phys: Energy in 2022.</w:t>
      </w:r>
    </w:p>
    <w:p w14:paraId="6FD3F303" w14:textId="679FB258" w:rsidR="00406BBC" w:rsidRDefault="00406BBC" w:rsidP="00406BBC">
      <w:pPr>
        <w:pStyle w:val="BIEmailAddress"/>
      </w:pPr>
      <w:r>
        <w:t xml:space="preserve">This deposit constitutes the research data included in the paper. </w:t>
      </w:r>
      <w:proofErr w:type="gramStart"/>
      <w:r>
        <w:t>The majority of</w:t>
      </w:r>
      <w:proofErr w:type="gramEnd"/>
      <w:r>
        <w:t xml:space="preserve"> the data is in the form of graphs for which the original data is contained in Origin files labeled with the name of the figure to which they pertain. For the photoemission data, the original data is included in a zip file named ‘photoemission data’.</w:t>
      </w:r>
    </w:p>
    <w:p w14:paraId="02ACC345" w14:textId="77777777" w:rsidR="00406BBC" w:rsidRDefault="00406BBC" w:rsidP="008D0206">
      <w:pPr>
        <w:pStyle w:val="BATitle"/>
        <w:rPr>
          <w:rFonts w:asciiTheme="minorHAnsi" w:hAnsiTheme="minorHAnsi" w:cstheme="minorHAnsi"/>
          <w:sz w:val="22"/>
          <w:szCs w:val="22"/>
        </w:rPr>
      </w:pPr>
    </w:p>
    <w:p w14:paraId="67C1660F" w14:textId="311EB905" w:rsidR="008D0206" w:rsidRPr="00184539" w:rsidRDefault="008D0206" w:rsidP="008D0206">
      <w:pPr>
        <w:pStyle w:val="BATitle"/>
        <w:rPr>
          <w:rFonts w:asciiTheme="minorHAnsi" w:hAnsiTheme="minorHAnsi" w:cstheme="minorHAnsi"/>
          <w:sz w:val="22"/>
          <w:szCs w:val="22"/>
        </w:rPr>
      </w:pPr>
      <w:r w:rsidRPr="00184539">
        <w:rPr>
          <w:rFonts w:asciiTheme="minorHAnsi" w:hAnsiTheme="minorHAnsi" w:cstheme="minorHAnsi"/>
          <w:sz w:val="22"/>
          <w:szCs w:val="22"/>
        </w:rPr>
        <w:t xml:space="preserve">Insights into post-growth doping and proposals for </w:t>
      </w:r>
      <w:proofErr w:type="spellStart"/>
      <w:proofErr w:type="gramStart"/>
      <w:r w:rsidRPr="00184539">
        <w:rPr>
          <w:rFonts w:asciiTheme="minorHAnsi" w:hAnsiTheme="minorHAnsi" w:cstheme="minorHAnsi"/>
          <w:sz w:val="22"/>
          <w:szCs w:val="22"/>
        </w:rPr>
        <w:t>CdTe:In</w:t>
      </w:r>
      <w:proofErr w:type="spellEnd"/>
      <w:proofErr w:type="gramEnd"/>
      <w:r w:rsidRPr="00184539">
        <w:rPr>
          <w:rFonts w:asciiTheme="minorHAnsi" w:hAnsiTheme="minorHAnsi" w:cstheme="minorHAnsi"/>
          <w:sz w:val="22"/>
          <w:szCs w:val="22"/>
        </w:rPr>
        <w:t xml:space="preserve"> photovoltaic devices</w:t>
      </w:r>
    </w:p>
    <w:bookmarkEnd w:id="0"/>
    <w:p w14:paraId="01754C88" w14:textId="77777777" w:rsidR="008D0206" w:rsidRPr="00184539" w:rsidRDefault="008D0206" w:rsidP="008D0206">
      <w:pPr>
        <w:pStyle w:val="BBAuthorName"/>
        <w:rPr>
          <w:rFonts w:asciiTheme="minorHAnsi" w:hAnsiTheme="minorHAnsi" w:cstheme="minorHAnsi"/>
          <w:sz w:val="22"/>
          <w:szCs w:val="22"/>
        </w:rPr>
      </w:pPr>
    </w:p>
    <w:p w14:paraId="0C05B348" w14:textId="77777777" w:rsidR="008D0206" w:rsidRPr="00373C74" w:rsidRDefault="008D0206" w:rsidP="008D0206">
      <w:pPr>
        <w:pStyle w:val="BIEmailAddress"/>
      </w:pPr>
      <w:bookmarkStart w:id="2" w:name="_Hlk77849461"/>
      <w:bookmarkStart w:id="3" w:name="_Hlk92724937"/>
      <w:bookmarkStart w:id="4" w:name="_Hlk92725462"/>
      <w:r w:rsidRPr="00373C74">
        <w:t>Luke Thomas</w:t>
      </w:r>
      <w:r w:rsidRPr="00373C74">
        <w:rPr>
          <w:vertAlign w:val="superscript"/>
        </w:rPr>
        <w:t>1</w:t>
      </w:r>
      <w:r w:rsidRPr="00373C74">
        <w:t>, Theo D.C. Hobson</w:t>
      </w:r>
      <w:r w:rsidRPr="00373C74">
        <w:rPr>
          <w:vertAlign w:val="superscript"/>
        </w:rPr>
        <w:t>1</w:t>
      </w:r>
      <w:r w:rsidRPr="00373C74">
        <w:t>, Laurie J. Phillips</w:t>
      </w:r>
      <w:r w:rsidRPr="00373C74">
        <w:rPr>
          <w:vertAlign w:val="superscript"/>
        </w:rPr>
        <w:t>1</w:t>
      </w:r>
      <w:r w:rsidRPr="00373C74">
        <w:t>, Kieran J. Cheetham</w:t>
      </w:r>
      <w:r w:rsidRPr="00373C74">
        <w:rPr>
          <w:vertAlign w:val="superscript"/>
        </w:rPr>
        <w:t>1, 2</w:t>
      </w:r>
      <w:r w:rsidRPr="00373C74">
        <w:t>, Neil Tarbuck</w:t>
      </w:r>
      <w:r w:rsidRPr="00373C74">
        <w:rPr>
          <w:vertAlign w:val="superscript"/>
        </w:rPr>
        <w:t>1</w:t>
      </w:r>
      <w:r w:rsidRPr="00373C74">
        <w:t>, Leanne A. H. Jones</w:t>
      </w:r>
      <w:r w:rsidRPr="00373C74">
        <w:rPr>
          <w:vertAlign w:val="superscript"/>
        </w:rPr>
        <w:t>1</w:t>
      </w:r>
      <w:r w:rsidRPr="00373C74">
        <w:t>. Matt J. Smiles</w:t>
      </w:r>
      <w:r w:rsidRPr="00373C74">
        <w:rPr>
          <w:vertAlign w:val="superscript"/>
        </w:rPr>
        <w:t>1</w:t>
      </w:r>
      <w:r w:rsidRPr="00373C74">
        <w:t>, Chris H. Don</w:t>
      </w:r>
      <w:r w:rsidRPr="00373C74">
        <w:rPr>
          <w:vertAlign w:val="superscript"/>
        </w:rPr>
        <w:t>1</w:t>
      </w:r>
      <w:r w:rsidRPr="00373C74">
        <w:t>, Pardeep K</w:t>
      </w:r>
      <w:r>
        <w:t>. Thakur</w:t>
      </w:r>
      <w:r>
        <w:rPr>
          <w:vertAlign w:val="superscript"/>
        </w:rPr>
        <w:t>3</w:t>
      </w:r>
      <w:r w:rsidRPr="00373C74">
        <w:t>, Mark Isaacs</w:t>
      </w:r>
      <w:r>
        <w:rPr>
          <w:vertAlign w:val="superscript"/>
        </w:rPr>
        <w:t>4</w:t>
      </w:r>
      <w:r w:rsidRPr="00373C74">
        <w:t>, Huw Shiel</w:t>
      </w:r>
      <w:r w:rsidRPr="00373C74">
        <w:rPr>
          <w:vertAlign w:val="superscript"/>
        </w:rPr>
        <w:t>1,</w:t>
      </w:r>
      <w:r>
        <w:rPr>
          <w:vertAlign w:val="superscript"/>
        </w:rPr>
        <w:t>5</w:t>
      </w:r>
      <w:r w:rsidRPr="00373C74">
        <w:t>, Stephen Campbell</w:t>
      </w:r>
      <w:r>
        <w:rPr>
          <w:vertAlign w:val="superscript"/>
        </w:rPr>
        <w:t>6</w:t>
      </w:r>
      <w:r w:rsidRPr="00373C74">
        <w:t>, Vincent Barrioz</w:t>
      </w:r>
      <w:r>
        <w:rPr>
          <w:vertAlign w:val="superscript"/>
        </w:rPr>
        <w:t>6</w:t>
      </w:r>
      <w:r w:rsidRPr="00373C74">
        <w:t>, Vin Dhanak</w:t>
      </w:r>
      <w:r w:rsidRPr="00373C74">
        <w:rPr>
          <w:vertAlign w:val="superscript"/>
        </w:rPr>
        <w:t>1</w:t>
      </w:r>
      <w:r w:rsidRPr="00373C74">
        <w:t>, Tim Veal</w:t>
      </w:r>
      <w:r w:rsidRPr="00373C74">
        <w:rPr>
          <w:vertAlign w:val="superscript"/>
        </w:rPr>
        <w:t>1</w:t>
      </w:r>
      <w:r w:rsidRPr="00373C74">
        <w:t>. Jon</w:t>
      </w:r>
      <w:r>
        <w:t>athan</w:t>
      </w:r>
      <w:r w:rsidRPr="00373C74">
        <w:t xml:space="preserve"> D. Major</w:t>
      </w:r>
      <w:r w:rsidRPr="00373C74">
        <w:rPr>
          <w:vertAlign w:val="superscript"/>
        </w:rPr>
        <w:t>1</w:t>
      </w:r>
      <w:r w:rsidRPr="00373C74">
        <w:t xml:space="preserve"> and Ken Durose*</w:t>
      </w:r>
      <w:r w:rsidRPr="00373C74">
        <w:rPr>
          <w:vertAlign w:val="superscript"/>
        </w:rPr>
        <w:t>1</w:t>
      </w:r>
      <w:bookmarkEnd w:id="2"/>
    </w:p>
    <w:bookmarkEnd w:id="3"/>
    <w:p w14:paraId="51BB9BA3" w14:textId="77777777" w:rsidR="008D0206" w:rsidRDefault="008D0206" w:rsidP="008D0206">
      <w:pPr>
        <w:pStyle w:val="BCAuthorAddress"/>
        <w:rPr>
          <w:rFonts w:asciiTheme="minorHAnsi" w:hAnsiTheme="minorHAnsi" w:cstheme="minorHAnsi"/>
          <w:sz w:val="22"/>
          <w:szCs w:val="22"/>
        </w:rPr>
      </w:pPr>
    </w:p>
    <w:p w14:paraId="254E9053" w14:textId="77777777" w:rsidR="008D0206" w:rsidRPr="00184539" w:rsidRDefault="008D0206" w:rsidP="008D0206">
      <w:pPr>
        <w:pStyle w:val="BCAuthorAddress"/>
        <w:spacing w:after="0"/>
        <w:rPr>
          <w:rFonts w:asciiTheme="minorHAnsi" w:hAnsiTheme="minorHAnsi" w:cstheme="minorHAnsi"/>
          <w:sz w:val="22"/>
          <w:szCs w:val="22"/>
        </w:rPr>
      </w:pPr>
      <w:r w:rsidRPr="00184539">
        <w:rPr>
          <w:rFonts w:asciiTheme="minorHAnsi" w:hAnsiTheme="minorHAnsi" w:cstheme="minorHAnsi"/>
          <w:sz w:val="22"/>
          <w:szCs w:val="22"/>
        </w:rPr>
        <w:t>1 – Dept. Physics/Stephenson Inst for Renewable Energy, Univ. Liverpool, L69 7ZF, UK</w:t>
      </w:r>
    </w:p>
    <w:p w14:paraId="520382B0" w14:textId="77777777" w:rsidR="008D0206" w:rsidRPr="00184539" w:rsidRDefault="008D0206" w:rsidP="008D0206">
      <w:pPr>
        <w:pStyle w:val="BCAuthorAddress"/>
        <w:spacing w:after="0"/>
        <w:rPr>
          <w:rFonts w:asciiTheme="minorHAnsi" w:hAnsiTheme="minorHAnsi" w:cstheme="minorHAnsi"/>
          <w:sz w:val="22"/>
          <w:szCs w:val="22"/>
        </w:rPr>
      </w:pPr>
      <w:r w:rsidRPr="00184539">
        <w:rPr>
          <w:rFonts w:asciiTheme="minorHAnsi" w:hAnsiTheme="minorHAnsi" w:cstheme="minorHAnsi"/>
          <w:sz w:val="22"/>
          <w:szCs w:val="22"/>
        </w:rPr>
        <w:t xml:space="preserve">2 – Now at: STFC, Daresbury Laboratory, </w:t>
      </w:r>
      <w:proofErr w:type="spellStart"/>
      <w:r w:rsidRPr="00184539">
        <w:rPr>
          <w:rFonts w:asciiTheme="minorHAnsi" w:hAnsiTheme="minorHAnsi" w:cstheme="minorHAnsi"/>
          <w:sz w:val="22"/>
          <w:szCs w:val="22"/>
        </w:rPr>
        <w:t>Keckwick</w:t>
      </w:r>
      <w:proofErr w:type="spellEnd"/>
      <w:r w:rsidRPr="00184539">
        <w:rPr>
          <w:rFonts w:asciiTheme="minorHAnsi" w:hAnsiTheme="minorHAnsi" w:cstheme="minorHAnsi"/>
          <w:sz w:val="22"/>
          <w:szCs w:val="22"/>
        </w:rPr>
        <w:t xml:space="preserve"> Lane, Daresbury, Cheshire, WA4 4AD, UK</w:t>
      </w:r>
    </w:p>
    <w:p w14:paraId="6BB97F2A" w14:textId="77777777" w:rsidR="008D0206" w:rsidRDefault="008D0206" w:rsidP="008D0206">
      <w:pPr>
        <w:spacing w:after="0"/>
      </w:pPr>
      <w:r>
        <w:t>3 – Diamond Light Source, Harwell Science &amp; Innovation Campus, Didcot, Oxfordshire, OX11 0DE, UK</w:t>
      </w:r>
    </w:p>
    <w:p w14:paraId="4650574F" w14:textId="77777777" w:rsidR="008D0206" w:rsidRPr="00184539" w:rsidRDefault="008D0206" w:rsidP="008D0206">
      <w:pPr>
        <w:pStyle w:val="BCAuthorAddress"/>
        <w:spacing w:after="0"/>
        <w:rPr>
          <w:rFonts w:asciiTheme="minorHAnsi" w:hAnsiTheme="minorHAnsi" w:cstheme="minorHAnsi"/>
          <w:sz w:val="22"/>
          <w:szCs w:val="22"/>
        </w:rPr>
      </w:pPr>
      <w:r>
        <w:rPr>
          <w:rFonts w:asciiTheme="minorHAnsi" w:hAnsiTheme="minorHAnsi" w:cstheme="minorHAnsi"/>
          <w:sz w:val="22"/>
          <w:szCs w:val="22"/>
        </w:rPr>
        <w:t>4</w:t>
      </w:r>
      <w:r w:rsidRPr="00184539">
        <w:rPr>
          <w:rFonts w:asciiTheme="minorHAnsi" w:hAnsiTheme="minorHAnsi" w:cstheme="minorHAnsi"/>
          <w:sz w:val="22"/>
          <w:szCs w:val="22"/>
        </w:rPr>
        <w:t xml:space="preserve"> – Harwell XPS, Research Complex at Harwell (</w:t>
      </w:r>
      <w:proofErr w:type="spellStart"/>
      <w:r w:rsidRPr="00184539">
        <w:rPr>
          <w:rFonts w:asciiTheme="minorHAnsi" w:hAnsiTheme="minorHAnsi" w:cstheme="minorHAnsi"/>
          <w:sz w:val="22"/>
          <w:szCs w:val="22"/>
        </w:rPr>
        <w:t>RCaH</w:t>
      </w:r>
      <w:proofErr w:type="spellEnd"/>
      <w:r w:rsidRPr="00184539">
        <w:rPr>
          <w:rFonts w:asciiTheme="minorHAnsi" w:hAnsiTheme="minorHAnsi" w:cstheme="minorHAnsi"/>
          <w:sz w:val="22"/>
          <w:szCs w:val="22"/>
        </w:rPr>
        <w:t xml:space="preserve">), </w:t>
      </w:r>
      <w:proofErr w:type="spellStart"/>
      <w:r w:rsidRPr="00184539">
        <w:rPr>
          <w:rFonts w:asciiTheme="minorHAnsi" w:hAnsiTheme="minorHAnsi" w:cstheme="minorHAnsi"/>
          <w:sz w:val="22"/>
          <w:szCs w:val="22"/>
        </w:rPr>
        <w:t>Didcot</w:t>
      </w:r>
      <w:proofErr w:type="spellEnd"/>
      <w:r w:rsidRPr="00184539">
        <w:rPr>
          <w:rFonts w:asciiTheme="minorHAnsi" w:hAnsiTheme="minorHAnsi" w:cstheme="minorHAnsi"/>
          <w:sz w:val="22"/>
          <w:szCs w:val="22"/>
        </w:rPr>
        <w:t>, OX11 0FA, UK</w:t>
      </w:r>
    </w:p>
    <w:p w14:paraId="13323EA7" w14:textId="77777777" w:rsidR="008D0206" w:rsidRDefault="008D0206" w:rsidP="008D0206">
      <w:pPr>
        <w:pStyle w:val="BIEmailAddress"/>
        <w:spacing w:after="0"/>
      </w:pPr>
      <w:r>
        <w:t>5</w:t>
      </w:r>
      <w:r w:rsidRPr="00184539">
        <w:t xml:space="preserve"> – Now at: Dept. of Materials, Imperial College London, Prince Consort Road, London, SW7 2BP, UK</w:t>
      </w:r>
    </w:p>
    <w:p w14:paraId="099A550D" w14:textId="77777777" w:rsidR="008D0206" w:rsidRPr="00184539" w:rsidRDefault="008D0206" w:rsidP="008D0206">
      <w:pPr>
        <w:pStyle w:val="BCAuthorAddress"/>
        <w:spacing w:after="0"/>
        <w:rPr>
          <w:rFonts w:asciiTheme="minorHAnsi" w:hAnsiTheme="minorHAnsi" w:cstheme="minorHAnsi"/>
          <w:sz w:val="22"/>
          <w:szCs w:val="22"/>
        </w:rPr>
      </w:pPr>
      <w:r>
        <w:rPr>
          <w:rFonts w:asciiTheme="minorHAnsi" w:hAnsiTheme="minorHAnsi" w:cstheme="minorHAnsi"/>
          <w:sz w:val="22"/>
          <w:szCs w:val="22"/>
        </w:rPr>
        <w:t>6</w:t>
      </w:r>
      <w:r w:rsidRPr="00184539">
        <w:rPr>
          <w:rFonts w:asciiTheme="minorHAnsi" w:hAnsiTheme="minorHAnsi" w:cstheme="minorHAnsi"/>
          <w:sz w:val="22"/>
          <w:szCs w:val="22"/>
        </w:rPr>
        <w:t xml:space="preserve"> – Dept </w:t>
      </w:r>
      <w:proofErr w:type="spellStart"/>
      <w:r w:rsidRPr="00184539">
        <w:rPr>
          <w:rFonts w:asciiTheme="minorHAnsi" w:hAnsiTheme="minorHAnsi" w:cstheme="minorHAnsi"/>
          <w:sz w:val="22"/>
          <w:szCs w:val="22"/>
        </w:rPr>
        <w:t>Maths</w:t>
      </w:r>
      <w:proofErr w:type="spellEnd"/>
      <w:r w:rsidRPr="00184539">
        <w:rPr>
          <w:rFonts w:asciiTheme="minorHAnsi" w:hAnsiTheme="minorHAnsi" w:cstheme="minorHAnsi"/>
          <w:sz w:val="22"/>
          <w:szCs w:val="22"/>
        </w:rPr>
        <w:t xml:space="preserve">, Physics and Elect. </w:t>
      </w:r>
      <w:proofErr w:type="spellStart"/>
      <w:r w:rsidRPr="00184539">
        <w:rPr>
          <w:rFonts w:asciiTheme="minorHAnsi" w:hAnsiTheme="minorHAnsi" w:cstheme="minorHAnsi"/>
          <w:sz w:val="22"/>
          <w:szCs w:val="22"/>
        </w:rPr>
        <w:t>Eng</w:t>
      </w:r>
      <w:proofErr w:type="spellEnd"/>
      <w:r w:rsidRPr="00184539">
        <w:rPr>
          <w:rFonts w:asciiTheme="minorHAnsi" w:hAnsiTheme="minorHAnsi" w:cstheme="minorHAnsi"/>
          <w:sz w:val="22"/>
          <w:szCs w:val="22"/>
        </w:rPr>
        <w:t xml:space="preserve">, Univ </w:t>
      </w:r>
      <w:proofErr w:type="spellStart"/>
      <w:r w:rsidRPr="00184539">
        <w:rPr>
          <w:rFonts w:asciiTheme="minorHAnsi" w:hAnsiTheme="minorHAnsi" w:cstheme="minorHAnsi"/>
          <w:sz w:val="22"/>
          <w:szCs w:val="22"/>
        </w:rPr>
        <w:t>Northumbria</w:t>
      </w:r>
      <w:proofErr w:type="spellEnd"/>
      <w:r w:rsidRPr="00184539">
        <w:rPr>
          <w:rFonts w:asciiTheme="minorHAnsi" w:hAnsiTheme="minorHAnsi" w:cstheme="minorHAnsi"/>
          <w:sz w:val="22"/>
          <w:szCs w:val="22"/>
        </w:rPr>
        <w:t>, Newcastle-upon-Tyne, NE1 8ST, UK</w:t>
      </w:r>
    </w:p>
    <w:bookmarkEnd w:id="1"/>
    <w:p w14:paraId="00BD9909" w14:textId="77777777" w:rsidR="008D0206" w:rsidRPr="005815DD" w:rsidRDefault="008D0206" w:rsidP="008D0206"/>
    <w:bookmarkEnd w:id="4"/>
    <w:p w14:paraId="04A4A26C" w14:textId="77777777" w:rsidR="008D0206" w:rsidRPr="00184539" w:rsidRDefault="008D0206" w:rsidP="008D0206">
      <w:pPr>
        <w:pStyle w:val="AIReceivedDate"/>
        <w:rPr>
          <w:rFonts w:asciiTheme="minorHAnsi" w:hAnsiTheme="minorHAnsi" w:cstheme="minorHAnsi"/>
          <w:sz w:val="22"/>
          <w:szCs w:val="22"/>
        </w:rPr>
      </w:pPr>
    </w:p>
    <w:p w14:paraId="3AF7CCE5" w14:textId="77777777" w:rsidR="008D0206" w:rsidRPr="00184539" w:rsidRDefault="008D0206" w:rsidP="008D0206">
      <w:pPr>
        <w:pStyle w:val="BEAuthorBiography"/>
        <w:rPr>
          <w:rFonts w:asciiTheme="minorHAnsi" w:hAnsiTheme="minorHAnsi" w:cstheme="minorHAnsi"/>
          <w:szCs w:val="22"/>
        </w:rPr>
      </w:pPr>
      <w:r w:rsidRPr="00184539">
        <w:rPr>
          <w:rFonts w:asciiTheme="minorHAnsi" w:hAnsiTheme="minorHAnsi" w:cstheme="minorHAnsi"/>
          <w:szCs w:val="22"/>
        </w:rPr>
        <w:t>KEYWORDS: Thin film solar cell; photovoltaics; cadmium telluride; n-type absorber; doping; indium</w:t>
      </w:r>
    </w:p>
    <w:p w14:paraId="4F7C535A" w14:textId="77777777" w:rsidR="008D0206" w:rsidRPr="00184539" w:rsidRDefault="008D0206" w:rsidP="008D0206">
      <w:pPr>
        <w:pStyle w:val="TAMainText"/>
      </w:pPr>
      <w:r w:rsidRPr="00184539">
        <w:t>Abstract.</w:t>
      </w:r>
    </w:p>
    <w:p w14:paraId="6F967C55" w14:textId="77777777" w:rsidR="008D0206" w:rsidRDefault="008D0206" w:rsidP="008D0206">
      <w:pPr>
        <w:pStyle w:val="TAMainText"/>
      </w:pPr>
      <w:r w:rsidRPr="00142C5F">
        <w:t xml:space="preserve">This paper is motivated by the potential advantages of higher doping and lower contact barriers in </w:t>
      </w:r>
      <w:proofErr w:type="spellStart"/>
      <w:r w:rsidRPr="00142C5F">
        <w:t>CdTe</w:t>
      </w:r>
      <w:proofErr w:type="spellEnd"/>
      <w:r w:rsidRPr="00142C5F">
        <w:t xml:space="preserve"> photovoltaic devices that may be realized by using n- </w:t>
      </w:r>
      <w:r>
        <w:t xml:space="preserve">type </w:t>
      </w:r>
      <w:r w:rsidRPr="00142C5F">
        <w:t xml:space="preserve">rather than the conventional p-type solar absorber layers. We present post-growth doping trials for indium in thin polycrystalline </w:t>
      </w:r>
      <w:proofErr w:type="spellStart"/>
      <w:r w:rsidRPr="00142C5F">
        <w:t>CdTe</w:t>
      </w:r>
      <w:proofErr w:type="spellEnd"/>
      <w:r w:rsidRPr="00142C5F">
        <w:t xml:space="preserve"> films using diffusion of indium metal and </w:t>
      </w:r>
      <w:r>
        <w:t xml:space="preserve">with </w:t>
      </w:r>
      <w:r w:rsidRPr="00142C5F">
        <w:t xml:space="preserve">indium chloride. </w:t>
      </w:r>
      <w:r>
        <w:t xml:space="preserve">Chemical concentrations of indium up to </w:t>
      </w:r>
      <w:r w:rsidRPr="00142C5F">
        <w:t>10</w:t>
      </w:r>
      <w:r w:rsidRPr="00142C5F">
        <w:rPr>
          <w:vertAlign w:val="superscript"/>
        </w:rPr>
        <w:t>19</w:t>
      </w:r>
      <w:r w:rsidRPr="00142C5F">
        <w:t xml:space="preserve"> cm</w:t>
      </w:r>
      <w:r w:rsidRPr="00142C5F">
        <w:rPr>
          <w:vertAlign w:val="superscript"/>
        </w:rPr>
        <w:t>-3</w:t>
      </w:r>
      <w:r w:rsidRPr="00142C5F">
        <w:t xml:space="preserve"> we</w:t>
      </w:r>
      <w:r>
        <w:t>re achieved and the films were verified as n-type by hard x-ray photoemission. Post-growth chlorine treatment (or InCl</w:t>
      </w:r>
      <w:r>
        <w:rPr>
          <w:vertAlign w:val="subscript"/>
        </w:rPr>
        <w:t>3</w:t>
      </w:r>
      <w:r>
        <w:t xml:space="preserve">) was found to compensate the n-doping. Trial structures comprising </w:t>
      </w:r>
      <w:proofErr w:type="spellStart"/>
      <w:r>
        <w:t>CdS</w:t>
      </w:r>
      <w:proofErr w:type="spellEnd"/>
      <w:r>
        <w:t>/</w:t>
      </w:r>
      <w:proofErr w:type="spellStart"/>
      <w:proofErr w:type="gramStart"/>
      <w:r>
        <w:t>CdTe:In</w:t>
      </w:r>
      <w:proofErr w:type="spellEnd"/>
      <w:proofErr w:type="gramEnd"/>
      <w:r>
        <w:t xml:space="preserve"> verified that the doped absorber structures performed as expected both before and after chloride treatment, but it is recognized that this is not an optimum combination. Hence </w:t>
      </w:r>
      <w:proofErr w:type="gramStart"/>
      <w:r>
        <w:t>i</w:t>
      </w:r>
      <w:r w:rsidRPr="00142C5F">
        <w:t>n order to</w:t>
      </w:r>
      <w:proofErr w:type="gramEnd"/>
      <w:r>
        <w:t xml:space="preserve"> identify</w:t>
      </w:r>
      <w:r w:rsidRPr="00142C5F">
        <w:t xml:space="preserve"> how the advantages of n-type absorbers might be fully realized</w:t>
      </w:r>
      <w:r>
        <w:t xml:space="preserve"> in future work,</w:t>
      </w:r>
      <w:r w:rsidRPr="00142C5F">
        <w:t xml:space="preserve"> </w:t>
      </w:r>
      <w:r>
        <w:t>we also report simulations of a range of p-n junction combinations with n-</w:t>
      </w:r>
      <w:proofErr w:type="spellStart"/>
      <w:r>
        <w:t>CdTe</w:t>
      </w:r>
      <w:proofErr w:type="spellEnd"/>
      <w:r w:rsidRPr="00142C5F">
        <w:t xml:space="preserve">, </w:t>
      </w:r>
      <w:r>
        <w:t>a number</w:t>
      </w:r>
      <w:r w:rsidRPr="00142C5F">
        <w:t xml:space="preserve"> of which have the potential for high </w:t>
      </w:r>
      <w:r w:rsidRPr="00142C5F">
        <w:rPr>
          <w:i/>
          <w:iCs/>
        </w:rPr>
        <w:t>V</w:t>
      </w:r>
      <w:r w:rsidRPr="00142C5F">
        <w:rPr>
          <w:vertAlign w:val="subscript"/>
        </w:rPr>
        <w:t>oc</w:t>
      </w:r>
      <w:r w:rsidRPr="00142C5F">
        <w:t>.</w:t>
      </w:r>
    </w:p>
    <w:p w14:paraId="0FE509BB" w14:textId="48DC9AC6" w:rsidR="00A11414" w:rsidRDefault="00A11414"/>
    <w:p w14:paraId="522A86C1" w14:textId="44807860" w:rsidR="00406BBC" w:rsidRDefault="00406BBC"/>
    <w:p w14:paraId="0F96C1AF" w14:textId="77777777" w:rsidR="00406BBC" w:rsidRDefault="00406BBC"/>
    <w:sectPr w:rsidR="00406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06"/>
    <w:rsid w:val="00406BBC"/>
    <w:rsid w:val="008D0206"/>
    <w:rsid w:val="00A11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917D"/>
  <w15:chartTrackingRefBased/>
  <w15:docId w15:val="{D1903ADD-867F-420D-8158-C461A882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ainText">
    <w:name w:val="TA_Main_Text"/>
    <w:basedOn w:val="Normal"/>
    <w:autoRedefine/>
    <w:rsid w:val="008D0206"/>
    <w:pPr>
      <w:spacing w:after="60" w:line="240" w:lineRule="auto"/>
    </w:pPr>
    <w:rPr>
      <w:rFonts w:eastAsia="Times New Roman" w:cstheme="minorHAnsi"/>
      <w:kern w:val="21"/>
      <w:lang w:val="en-US"/>
    </w:rPr>
  </w:style>
  <w:style w:type="paragraph" w:customStyle="1" w:styleId="BATitle">
    <w:name w:val="BA_Title"/>
    <w:basedOn w:val="Normal"/>
    <w:next w:val="BBAuthorName"/>
    <w:autoRedefine/>
    <w:rsid w:val="008D0206"/>
    <w:pPr>
      <w:spacing w:after="180" w:line="240" w:lineRule="auto"/>
    </w:pPr>
    <w:rPr>
      <w:rFonts w:ascii="Myriad Pro Light" w:eastAsia="Times New Roman" w:hAnsi="Myriad Pro Light" w:cs="Times New Roman"/>
      <w:b/>
      <w:kern w:val="36"/>
      <w:sz w:val="34"/>
      <w:szCs w:val="20"/>
      <w:lang w:val="en-US"/>
    </w:rPr>
  </w:style>
  <w:style w:type="paragraph" w:customStyle="1" w:styleId="BBAuthorName">
    <w:name w:val="BB_Author_Name"/>
    <w:basedOn w:val="Normal"/>
    <w:next w:val="BCAuthorAddress"/>
    <w:autoRedefine/>
    <w:rsid w:val="008D0206"/>
    <w:pPr>
      <w:spacing w:after="180" w:line="240" w:lineRule="auto"/>
    </w:pPr>
    <w:rPr>
      <w:rFonts w:ascii="Arno Pro" w:eastAsia="Times New Roman" w:hAnsi="Arno Pro" w:cs="Times New Roman"/>
      <w:kern w:val="26"/>
      <w:sz w:val="24"/>
      <w:szCs w:val="20"/>
      <w:lang w:val="en-US"/>
    </w:rPr>
  </w:style>
  <w:style w:type="paragraph" w:customStyle="1" w:styleId="BCAuthorAddress">
    <w:name w:val="BC_Author_Address"/>
    <w:basedOn w:val="Normal"/>
    <w:next w:val="BIEmailAddress"/>
    <w:autoRedefine/>
    <w:rsid w:val="008D0206"/>
    <w:pPr>
      <w:spacing w:after="60" w:line="240" w:lineRule="auto"/>
    </w:pPr>
    <w:rPr>
      <w:rFonts w:ascii="Arno Pro" w:eastAsia="Times New Roman" w:hAnsi="Arno Pro" w:cs="Times New Roman"/>
      <w:kern w:val="22"/>
      <w:sz w:val="20"/>
      <w:szCs w:val="20"/>
      <w:lang w:val="en-US"/>
    </w:rPr>
  </w:style>
  <w:style w:type="paragraph" w:customStyle="1" w:styleId="BIEmailAddress">
    <w:name w:val="BI_Email_Address"/>
    <w:basedOn w:val="Normal"/>
    <w:next w:val="AIReceivedDate"/>
    <w:autoRedefine/>
    <w:rsid w:val="008D0206"/>
    <w:pPr>
      <w:spacing w:after="100" w:line="240" w:lineRule="auto"/>
    </w:pPr>
    <w:rPr>
      <w:rFonts w:eastAsia="Times New Roman" w:cstheme="minorHAnsi"/>
      <w:color w:val="0D0D0D" w:themeColor="text1" w:themeTint="F2"/>
      <w:lang w:val="en-US"/>
    </w:rPr>
  </w:style>
  <w:style w:type="paragraph" w:customStyle="1" w:styleId="AIReceivedDate">
    <w:name w:val="AI_Received_Date"/>
    <w:basedOn w:val="Normal"/>
    <w:next w:val="Normal"/>
    <w:autoRedefine/>
    <w:rsid w:val="008D0206"/>
    <w:pPr>
      <w:spacing w:after="100" w:line="240" w:lineRule="auto"/>
    </w:pPr>
    <w:rPr>
      <w:rFonts w:ascii="Arno Pro" w:eastAsia="Times New Roman" w:hAnsi="Arno Pro" w:cs="Times New Roman"/>
      <w:sz w:val="18"/>
      <w:szCs w:val="20"/>
      <w:lang w:val="en-US"/>
    </w:rPr>
  </w:style>
  <w:style w:type="paragraph" w:customStyle="1" w:styleId="BEAuthorBiography">
    <w:name w:val="BE_Author_Biography"/>
    <w:basedOn w:val="Normal"/>
    <w:autoRedefine/>
    <w:rsid w:val="008D0206"/>
    <w:pPr>
      <w:spacing w:after="200" w:line="240" w:lineRule="auto"/>
      <w:jc w:val="both"/>
    </w:pPr>
    <w:rPr>
      <w:rFonts w:ascii="Arno Pro" w:eastAsia="Times New Roman" w:hAnsi="Arno Pro"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Durose, Ken</dc:creator>
  <cp:keywords/>
  <dc:description/>
  <cp:lastModifiedBy>Durose, Ken</cp:lastModifiedBy>
  <cp:revision>2</cp:revision>
  <dcterms:created xsi:type="dcterms:W3CDTF">2022-06-15T15:00:00Z</dcterms:created>
  <dcterms:modified xsi:type="dcterms:W3CDTF">2022-06-15T15:04:00Z</dcterms:modified>
</cp:coreProperties>
</file>