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FB62D" w14:textId="06D8D241" w:rsidR="00411C71" w:rsidRPr="001823ED" w:rsidRDefault="00F770F7" w:rsidP="009D21B5">
      <w:pPr>
        <w:widowControl w:val="0"/>
        <w:rPr>
          <w:b/>
          <w:noProof/>
          <w:sz w:val="32"/>
          <w:szCs w:val="32"/>
        </w:rPr>
      </w:pPr>
      <w:bookmarkStart w:id="0" w:name="_Toc49607812"/>
      <w:bookmarkStart w:id="1" w:name="_Toc49632055"/>
      <w:r w:rsidRPr="001823ED">
        <w:rPr>
          <w:b/>
          <w:noProof/>
          <w:sz w:val="32"/>
          <w:szCs w:val="32"/>
        </w:rPr>
        <w:t>Appendix A</w:t>
      </w:r>
      <w:bookmarkEnd w:id="0"/>
      <w:bookmarkEnd w:id="1"/>
    </w:p>
    <w:p w14:paraId="31901673" w14:textId="77777777" w:rsidR="005F07B5" w:rsidRPr="001823ED" w:rsidRDefault="005F07B5" w:rsidP="009D21B5">
      <w:pPr>
        <w:widowControl w:val="0"/>
        <w:rPr>
          <w:b/>
          <w:bCs/>
          <w:iCs/>
          <w:sz w:val="32"/>
          <w:szCs w:val="32"/>
        </w:rPr>
      </w:pPr>
      <w:bookmarkStart w:id="2" w:name="_Toc49607813"/>
      <w:bookmarkStart w:id="3" w:name="_Toc49632056"/>
    </w:p>
    <w:bookmarkEnd w:id="2"/>
    <w:bookmarkEnd w:id="3"/>
    <w:p w14:paraId="1A9531DA" w14:textId="01C5994A" w:rsidR="00F770F7" w:rsidRPr="001823ED" w:rsidRDefault="00CC3E78" w:rsidP="009D21B5">
      <w:pPr>
        <w:widowControl w:val="0"/>
        <w:rPr>
          <w:b/>
          <w:bCs/>
          <w:iCs/>
          <w:sz w:val="32"/>
          <w:szCs w:val="32"/>
        </w:rPr>
      </w:pPr>
      <w:r w:rsidRPr="00CC3E78">
        <w:rPr>
          <w:b/>
          <w:bCs/>
          <w:iCs/>
          <w:sz w:val="32"/>
          <w:szCs w:val="32"/>
        </w:rPr>
        <w:t>Vaginal bacterial load in the second trimester is associated with early preterm birth recurrence: a nested case-control study</w:t>
      </w:r>
    </w:p>
    <w:p w14:paraId="5EF46C8B" w14:textId="2D8FEFA1" w:rsidR="00CB2DBB" w:rsidRPr="001823ED" w:rsidRDefault="00CB2DBB" w:rsidP="009D21B5">
      <w:pPr>
        <w:widowControl w:val="0"/>
        <w:outlineLvl w:val="2"/>
        <w:rPr>
          <w:bCs/>
          <w:iCs/>
        </w:rPr>
      </w:pPr>
    </w:p>
    <w:p w14:paraId="4F18AED8" w14:textId="77777777" w:rsidR="00F770F7" w:rsidRPr="001823ED" w:rsidRDefault="00F770F7" w:rsidP="009D21B5">
      <w:pPr>
        <w:widowControl w:val="0"/>
      </w:pPr>
      <w:bookmarkStart w:id="4" w:name="_Toc49607815"/>
      <w:bookmarkStart w:id="5" w:name="_Toc49632058"/>
      <w:r w:rsidRPr="001823ED">
        <w:rPr>
          <w:u w:val="single"/>
        </w:rPr>
        <w:t>Authors</w:t>
      </w:r>
      <w:r w:rsidRPr="001823ED">
        <w:t>:</w:t>
      </w:r>
      <w:bookmarkEnd w:id="4"/>
      <w:bookmarkEnd w:id="5"/>
    </w:p>
    <w:p w14:paraId="00F869D1" w14:textId="3AF30825" w:rsidR="00F770F7" w:rsidRPr="001823ED" w:rsidRDefault="00F770F7" w:rsidP="009D21B5">
      <w:pPr>
        <w:widowControl w:val="0"/>
      </w:pPr>
      <w:r w:rsidRPr="001823ED">
        <w:t>Laura Goodfellow,</w:t>
      </w:r>
      <w:r w:rsidRPr="001823ED">
        <w:rPr>
          <w:vertAlign w:val="superscript"/>
        </w:rPr>
        <w:t>1*</w:t>
      </w:r>
      <w:r w:rsidRPr="001823ED">
        <w:t xml:space="preserve"> Marijn C. Verwijs,</w:t>
      </w:r>
      <w:r w:rsidRPr="001823ED">
        <w:rPr>
          <w:vertAlign w:val="superscript"/>
        </w:rPr>
        <w:t>2</w:t>
      </w:r>
      <w:r w:rsidRPr="001823ED">
        <w:t xml:space="preserve"> Angharad Care,</w:t>
      </w:r>
      <w:r w:rsidRPr="001823ED">
        <w:rPr>
          <w:vertAlign w:val="superscript"/>
        </w:rPr>
        <w:t>1</w:t>
      </w:r>
      <w:r w:rsidRPr="001823ED">
        <w:t xml:space="preserve"> Andrew Sharp,</w:t>
      </w:r>
      <w:r w:rsidRPr="001823ED">
        <w:rPr>
          <w:vertAlign w:val="superscript"/>
        </w:rPr>
        <w:t>1</w:t>
      </w:r>
      <w:r w:rsidRPr="001823ED">
        <w:t xml:space="preserve"> Jelena Ivandic,</w:t>
      </w:r>
      <w:r w:rsidRPr="001823ED">
        <w:rPr>
          <w:vertAlign w:val="superscript"/>
        </w:rPr>
        <w:t>1</w:t>
      </w:r>
      <w:r w:rsidRPr="001823ED">
        <w:t xml:space="preserve"> Borna Poljak,</w:t>
      </w:r>
      <w:r w:rsidRPr="001823ED">
        <w:rPr>
          <w:vertAlign w:val="superscript"/>
        </w:rPr>
        <w:t>3</w:t>
      </w:r>
      <w:r w:rsidRPr="001823ED">
        <w:t xml:space="preserve"> Devender Roberts,</w:t>
      </w:r>
      <w:r w:rsidRPr="001823ED">
        <w:rPr>
          <w:vertAlign w:val="superscript"/>
        </w:rPr>
        <w:t>3</w:t>
      </w:r>
      <w:r w:rsidRPr="001823ED">
        <w:t xml:space="preserve"> Christina Bronowski,</w:t>
      </w:r>
      <w:r w:rsidRPr="001823ED">
        <w:rPr>
          <w:vertAlign w:val="superscript"/>
        </w:rPr>
        <w:t>2</w:t>
      </w:r>
      <w:r w:rsidRPr="001823ED">
        <w:t xml:space="preserve"> A. Christina Gill,</w:t>
      </w:r>
      <w:r w:rsidRPr="001823ED">
        <w:rPr>
          <w:vertAlign w:val="superscript"/>
        </w:rPr>
        <w:t>2</w:t>
      </w:r>
      <w:r w:rsidRPr="001823ED">
        <w:t xml:space="preserve"> Alistair C. Darby,</w:t>
      </w:r>
      <w:r w:rsidRPr="001823ED">
        <w:rPr>
          <w:vertAlign w:val="superscript"/>
        </w:rPr>
        <w:t>4</w:t>
      </w:r>
      <w:r w:rsidRPr="001823ED">
        <w:t xml:space="preserve"> Ana Alfirevic,</w:t>
      </w:r>
      <w:r w:rsidRPr="001823ED">
        <w:rPr>
          <w:vertAlign w:val="superscript"/>
        </w:rPr>
        <w:t>1</w:t>
      </w:r>
      <w:r w:rsidRPr="001823ED">
        <w:t xml:space="preserve"> Bertram Muller-Myhsok,</w:t>
      </w:r>
      <w:r w:rsidRPr="001823ED">
        <w:rPr>
          <w:vertAlign w:val="superscript"/>
        </w:rPr>
        <w:t>1,5</w:t>
      </w:r>
      <w:r w:rsidRPr="001823ED">
        <w:t xml:space="preserve"> </w:t>
      </w:r>
      <w:r w:rsidR="00AD4DD2" w:rsidRPr="001823ED">
        <w:t>Zarko Alfirevic,</w:t>
      </w:r>
      <w:r w:rsidR="00AD4DD2" w:rsidRPr="001823ED">
        <w:rPr>
          <w:vertAlign w:val="superscript"/>
        </w:rPr>
        <w:t xml:space="preserve">1† </w:t>
      </w:r>
      <w:proofErr w:type="spellStart"/>
      <w:r w:rsidRPr="001823ED">
        <w:t>Janneke</w:t>
      </w:r>
      <w:proofErr w:type="spellEnd"/>
      <w:r w:rsidRPr="001823ED">
        <w:t xml:space="preserve"> H.H.M. </w:t>
      </w:r>
      <w:r w:rsidRPr="001823ED">
        <w:rPr>
          <w:rFonts w:ascii="Times New Roman" w:hAnsi="Times New Roman"/>
        </w:rPr>
        <w:t>﻿</w:t>
      </w:r>
      <w:r w:rsidRPr="001823ED">
        <w:t>van de Wijgert</w:t>
      </w:r>
      <w:r w:rsidRPr="001823ED">
        <w:rPr>
          <w:vertAlign w:val="superscript"/>
        </w:rPr>
        <w:t>2,6†</w:t>
      </w:r>
      <w:r w:rsidRPr="001823ED">
        <w:t xml:space="preserve"> </w:t>
      </w:r>
    </w:p>
    <w:p w14:paraId="01C3AA77" w14:textId="610FBA98" w:rsidR="00F770F7" w:rsidRPr="001823ED" w:rsidRDefault="00F770F7" w:rsidP="009D21B5">
      <w:pPr>
        <w:widowControl w:val="0"/>
      </w:pPr>
    </w:p>
    <w:p w14:paraId="33763BE7" w14:textId="77777777" w:rsidR="00CB2DBB" w:rsidRPr="001823ED" w:rsidRDefault="00CB2DBB" w:rsidP="009D21B5">
      <w:pPr>
        <w:widowControl w:val="0"/>
      </w:pPr>
    </w:p>
    <w:p w14:paraId="4A6F5A71" w14:textId="77777777" w:rsidR="00F770F7" w:rsidRPr="001823ED" w:rsidRDefault="00F770F7" w:rsidP="009D21B5">
      <w:pPr>
        <w:widowControl w:val="0"/>
      </w:pPr>
      <w:r w:rsidRPr="001823ED">
        <w:rPr>
          <w:u w:val="single"/>
        </w:rPr>
        <w:t>Affiliations</w:t>
      </w:r>
      <w:r w:rsidRPr="001823ED">
        <w:t>:</w:t>
      </w:r>
    </w:p>
    <w:p w14:paraId="2CED7845" w14:textId="1DD2DDD7" w:rsidR="00F770F7" w:rsidRPr="001823ED" w:rsidRDefault="00F770F7" w:rsidP="009D21B5">
      <w:pPr>
        <w:widowControl w:val="0"/>
        <w:ind w:left="284" w:hanging="284"/>
      </w:pPr>
      <w:r w:rsidRPr="001823ED">
        <w:t xml:space="preserve">1. </w:t>
      </w:r>
      <w:r w:rsidR="005F07B5" w:rsidRPr="001823ED">
        <w:tab/>
      </w:r>
      <w:r w:rsidRPr="001823ED">
        <w:t xml:space="preserve">Harris Wellbeing Research </w:t>
      </w:r>
      <w:r w:rsidR="009C6221" w:rsidRPr="001823ED">
        <w:t>Centre, Department</w:t>
      </w:r>
      <w:r w:rsidRPr="001823ED">
        <w:t xml:space="preserve"> of Women's and Children's Health University of Liverpool, United Kingdom</w:t>
      </w:r>
    </w:p>
    <w:p w14:paraId="2D2BCA08" w14:textId="7878CE42" w:rsidR="00F770F7" w:rsidRPr="001823ED" w:rsidRDefault="00F770F7" w:rsidP="009D21B5">
      <w:pPr>
        <w:widowControl w:val="0"/>
        <w:ind w:left="284" w:hanging="284"/>
      </w:pPr>
      <w:r w:rsidRPr="001823ED">
        <w:t xml:space="preserve">2. </w:t>
      </w:r>
      <w:r w:rsidR="005F07B5" w:rsidRPr="001823ED">
        <w:tab/>
      </w:r>
      <w:r w:rsidRPr="001823ED">
        <w:t>Department of Clinical Infection, Microbiology and Immunology, Institute of Infection, Veterinary, and Ecological Sciences, University of Liverpool, Liverpool, United Kingdom.</w:t>
      </w:r>
    </w:p>
    <w:p w14:paraId="03F25C04" w14:textId="041C6350" w:rsidR="00F770F7" w:rsidRPr="001823ED" w:rsidRDefault="00F770F7" w:rsidP="009D21B5">
      <w:pPr>
        <w:widowControl w:val="0"/>
        <w:ind w:left="284" w:hanging="284"/>
      </w:pPr>
      <w:r w:rsidRPr="001823ED">
        <w:t xml:space="preserve">3. </w:t>
      </w:r>
      <w:r w:rsidR="005F07B5" w:rsidRPr="001823ED">
        <w:tab/>
      </w:r>
      <w:r w:rsidRPr="001823ED">
        <w:t>Liverpool Women’s NHS Foundation Trust, Liverpool, United Kingdom.</w:t>
      </w:r>
    </w:p>
    <w:p w14:paraId="03C0C765" w14:textId="6703F0C5" w:rsidR="00F770F7" w:rsidRPr="001823ED" w:rsidRDefault="00F770F7" w:rsidP="009D21B5">
      <w:pPr>
        <w:widowControl w:val="0"/>
        <w:ind w:left="284" w:hanging="284"/>
      </w:pPr>
      <w:r w:rsidRPr="001823ED">
        <w:t xml:space="preserve">4. </w:t>
      </w:r>
      <w:r w:rsidR="005F07B5" w:rsidRPr="001823ED">
        <w:tab/>
      </w:r>
      <w:r w:rsidRPr="001823ED">
        <w:t>Centre for Genomic Research, University of Liverpool, Liverpool.</w:t>
      </w:r>
    </w:p>
    <w:p w14:paraId="15AE1B2D" w14:textId="49A9C310" w:rsidR="00F770F7" w:rsidRPr="001823ED" w:rsidRDefault="00F770F7" w:rsidP="009D21B5">
      <w:pPr>
        <w:widowControl w:val="0"/>
        <w:ind w:left="284" w:hanging="284"/>
      </w:pPr>
      <w:r w:rsidRPr="001823ED">
        <w:t xml:space="preserve">5. </w:t>
      </w:r>
      <w:r w:rsidR="005F07B5" w:rsidRPr="001823ED">
        <w:tab/>
      </w:r>
      <w:r w:rsidRPr="001823ED">
        <w:t>Department of Translational Research in Psychiatry, Max Planck Institute of Psychiatry, Munich, Germany.</w:t>
      </w:r>
    </w:p>
    <w:p w14:paraId="53554AA3" w14:textId="48D7EB00" w:rsidR="00F770F7" w:rsidRPr="001823ED" w:rsidRDefault="00F770F7" w:rsidP="009D21B5">
      <w:pPr>
        <w:widowControl w:val="0"/>
        <w:ind w:left="284" w:hanging="284"/>
      </w:pPr>
      <w:r w:rsidRPr="001823ED">
        <w:t xml:space="preserve">6. </w:t>
      </w:r>
      <w:r w:rsidR="005F07B5" w:rsidRPr="001823ED">
        <w:tab/>
      </w:r>
      <w:r w:rsidRPr="001823ED">
        <w:t xml:space="preserve">Julius </w:t>
      </w:r>
      <w:proofErr w:type="spellStart"/>
      <w:r w:rsidRPr="001823ED">
        <w:t>Center</w:t>
      </w:r>
      <w:proofErr w:type="spellEnd"/>
      <w:r w:rsidRPr="001823ED">
        <w:t xml:space="preserve"> for Health Sciences and Primary Care, University Medical </w:t>
      </w:r>
      <w:proofErr w:type="spellStart"/>
      <w:r w:rsidRPr="001823ED">
        <w:t>Center</w:t>
      </w:r>
      <w:proofErr w:type="spellEnd"/>
      <w:r w:rsidRPr="001823ED">
        <w:t xml:space="preserve"> Utrecht, Utrecht University, Utrecht, The Netherlands</w:t>
      </w:r>
    </w:p>
    <w:p w14:paraId="0A1D3F63" w14:textId="014E1988" w:rsidR="00F770F7" w:rsidRPr="001823ED" w:rsidRDefault="00F770F7" w:rsidP="009D21B5">
      <w:pPr>
        <w:widowControl w:val="0"/>
        <w:ind w:left="284" w:right="-142" w:hanging="284"/>
      </w:pPr>
      <w:r w:rsidRPr="001823ED">
        <w:t>*</w:t>
      </w:r>
      <w:r w:rsidR="005F07B5" w:rsidRPr="001823ED">
        <w:tab/>
      </w:r>
      <w:r w:rsidRPr="001823ED">
        <w:t xml:space="preserve">Corresponding author. Address: University Department, Liverpool Women’s Hospital, Crown Street, Liverpool, L8 7SS. Tel: 0151 7959557. Fax: 0151 795 9599 email: </w:t>
      </w:r>
      <w:hyperlink r:id="rId8" w:history="1">
        <w:r w:rsidRPr="001823ED">
          <w:rPr>
            <w:u w:val="single"/>
          </w:rPr>
          <w:t>l.goodfellow@liverpool.ac.uk</w:t>
        </w:r>
      </w:hyperlink>
    </w:p>
    <w:p w14:paraId="1F156939" w14:textId="50CB5FCF" w:rsidR="00F770F7" w:rsidRPr="001823ED" w:rsidRDefault="00F770F7" w:rsidP="009D21B5">
      <w:pPr>
        <w:widowControl w:val="0"/>
        <w:ind w:left="284" w:hanging="284"/>
      </w:pPr>
      <w:r w:rsidRPr="001823ED">
        <w:t>†</w:t>
      </w:r>
      <w:r w:rsidR="005F07B5" w:rsidRPr="001823ED">
        <w:tab/>
      </w:r>
      <w:r w:rsidRPr="001823ED">
        <w:t>Contributed equally</w:t>
      </w:r>
    </w:p>
    <w:p w14:paraId="20B6D1F7" w14:textId="1A9B8904" w:rsidR="004C305D" w:rsidRPr="001823ED" w:rsidRDefault="004C305D" w:rsidP="009D21B5">
      <w:pPr>
        <w:widowControl w:val="0"/>
        <w:rPr>
          <w:rStyle w:val="SubtleEmphasis"/>
          <w:color w:val="auto"/>
        </w:rPr>
      </w:pPr>
      <w:r w:rsidRPr="001823ED">
        <w:rPr>
          <w:rStyle w:val="SubtleEmphasis"/>
          <w:color w:val="auto"/>
        </w:rPr>
        <w:br w:type="page"/>
      </w:r>
    </w:p>
    <w:p w14:paraId="5BE415AD" w14:textId="77777777" w:rsidR="00F770F7" w:rsidRPr="001823ED" w:rsidRDefault="00F770F7" w:rsidP="009D21B5">
      <w:pPr>
        <w:widowControl w:val="0"/>
        <w:rPr>
          <w:rStyle w:val="SubtleEmphasis"/>
          <w:color w:val="auto"/>
        </w:rPr>
      </w:pPr>
    </w:p>
    <w:p w14:paraId="3D2D8E71" w14:textId="61E6D595" w:rsidR="00411C71" w:rsidRPr="001823ED" w:rsidRDefault="00A61BF8" w:rsidP="009D21B5">
      <w:pPr>
        <w:widowControl w:val="0"/>
        <w:rPr>
          <w:rStyle w:val="SubtleEmphasis"/>
          <w:b/>
          <w:i w:val="0"/>
          <w:color w:val="auto"/>
          <w:szCs w:val="22"/>
        </w:rPr>
      </w:pPr>
      <w:r w:rsidRPr="001823ED">
        <w:rPr>
          <w:rStyle w:val="SubtleEmphasis"/>
          <w:b/>
          <w:i w:val="0"/>
          <w:color w:val="auto"/>
          <w:szCs w:val="22"/>
        </w:rPr>
        <w:t>TABLE OF CONTENTS</w:t>
      </w:r>
    </w:p>
    <w:p w14:paraId="5746C9D1" w14:textId="77777777" w:rsidR="00973FB5" w:rsidRPr="001823ED" w:rsidRDefault="00973FB5" w:rsidP="009D21B5">
      <w:pPr>
        <w:pStyle w:val="TOC2"/>
        <w:widowControl w:val="0"/>
      </w:pPr>
    </w:p>
    <w:p w14:paraId="7ADDFBD6" w14:textId="20AB5719" w:rsidR="00F75DDB" w:rsidRDefault="00A61BF8" w:rsidP="00E83315">
      <w:pPr>
        <w:pStyle w:val="TOC1"/>
        <w:rPr>
          <w:rFonts w:eastAsiaTheme="minorEastAsia" w:cstheme="minorBidi"/>
          <w:noProof/>
          <w:sz w:val="24"/>
          <w:lang w:eastAsia="en-GB"/>
        </w:rPr>
      </w:pPr>
      <w:r w:rsidRPr="001823ED">
        <w:rPr>
          <w:rFonts w:asciiTheme="majorHAnsi" w:hAnsiTheme="majorHAnsi"/>
          <w:szCs w:val="22"/>
        </w:rPr>
        <w:fldChar w:fldCharType="begin"/>
      </w:r>
      <w:r w:rsidRPr="001823ED">
        <w:rPr>
          <w:rFonts w:asciiTheme="majorHAnsi" w:hAnsiTheme="majorHAnsi"/>
          <w:szCs w:val="22"/>
        </w:rPr>
        <w:instrText xml:space="preserve"> TOC \o "1-2" \h \z \u </w:instrText>
      </w:r>
      <w:r w:rsidRPr="001823ED">
        <w:rPr>
          <w:rFonts w:asciiTheme="majorHAnsi" w:hAnsiTheme="majorHAnsi"/>
          <w:szCs w:val="22"/>
        </w:rPr>
        <w:fldChar w:fldCharType="separate"/>
      </w:r>
      <w:hyperlink w:anchor="_Toc69722979" w:history="1">
        <w:r w:rsidR="00F75DDB" w:rsidRPr="00F31B16">
          <w:rPr>
            <w:rStyle w:val="Hyperlink"/>
            <w:noProof/>
          </w:rPr>
          <w:t>Supplementary methods</w:t>
        </w:r>
        <w:r w:rsidR="00F75DDB">
          <w:rPr>
            <w:noProof/>
            <w:webHidden/>
          </w:rPr>
          <w:tab/>
        </w:r>
        <w:r w:rsidR="00F75DDB">
          <w:rPr>
            <w:noProof/>
            <w:webHidden/>
          </w:rPr>
          <w:fldChar w:fldCharType="begin"/>
        </w:r>
        <w:r w:rsidR="00F75DDB">
          <w:rPr>
            <w:noProof/>
            <w:webHidden/>
          </w:rPr>
          <w:instrText xml:space="preserve"> PAGEREF _Toc69722979 \h </w:instrText>
        </w:r>
        <w:r w:rsidR="00F75DDB">
          <w:rPr>
            <w:noProof/>
            <w:webHidden/>
          </w:rPr>
        </w:r>
        <w:r w:rsidR="00F75DDB">
          <w:rPr>
            <w:noProof/>
            <w:webHidden/>
          </w:rPr>
          <w:fldChar w:fldCharType="separate"/>
        </w:r>
        <w:r w:rsidR="00F75DDB">
          <w:rPr>
            <w:noProof/>
            <w:webHidden/>
          </w:rPr>
          <w:t>3</w:t>
        </w:r>
        <w:r w:rsidR="00F75DDB">
          <w:rPr>
            <w:noProof/>
            <w:webHidden/>
          </w:rPr>
          <w:fldChar w:fldCharType="end"/>
        </w:r>
      </w:hyperlink>
    </w:p>
    <w:p w14:paraId="31133FDC" w14:textId="5D524D83" w:rsidR="00F75DDB" w:rsidRDefault="009D2FA6">
      <w:pPr>
        <w:pStyle w:val="TOC2"/>
        <w:rPr>
          <w:rFonts w:eastAsiaTheme="minorEastAsia" w:cstheme="minorBidi"/>
          <w:b w:val="0"/>
          <w:bCs w:val="0"/>
          <w:noProof/>
          <w:sz w:val="24"/>
          <w:szCs w:val="24"/>
          <w:lang w:eastAsia="en-GB"/>
        </w:rPr>
      </w:pPr>
      <w:hyperlink w:anchor="_Toc69722980" w:history="1">
        <w:r w:rsidR="00F75DDB" w:rsidRPr="00F31B16">
          <w:rPr>
            <w:rStyle w:val="Hyperlink"/>
            <w:noProof/>
          </w:rPr>
          <w:t>Eligibility criteria</w:t>
        </w:r>
        <w:r w:rsidR="00F75DDB">
          <w:rPr>
            <w:noProof/>
            <w:webHidden/>
          </w:rPr>
          <w:tab/>
        </w:r>
        <w:r w:rsidR="00F75DDB">
          <w:rPr>
            <w:noProof/>
            <w:webHidden/>
          </w:rPr>
          <w:fldChar w:fldCharType="begin"/>
        </w:r>
        <w:r w:rsidR="00F75DDB">
          <w:rPr>
            <w:noProof/>
            <w:webHidden/>
          </w:rPr>
          <w:instrText xml:space="preserve"> PAGEREF _Toc69722980 \h </w:instrText>
        </w:r>
        <w:r w:rsidR="00F75DDB">
          <w:rPr>
            <w:noProof/>
            <w:webHidden/>
          </w:rPr>
        </w:r>
        <w:r w:rsidR="00F75DDB">
          <w:rPr>
            <w:noProof/>
            <w:webHidden/>
          </w:rPr>
          <w:fldChar w:fldCharType="separate"/>
        </w:r>
        <w:r w:rsidR="00F75DDB">
          <w:rPr>
            <w:noProof/>
            <w:webHidden/>
          </w:rPr>
          <w:t>3</w:t>
        </w:r>
        <w:r w:rsidR="00F75DDB">
          <w:rPr>
            <w:noProof/>
            <w:webHidden/>
          </w:rPr>
          <w:fldChar w:fldCharType="end"/>
        </w:r>
      </w:hyperlink>
    </w:p>
    <w:p w14:paraId="4A85A793" w14:textId="04D081D8" w:rsidR="00F75DDB" w:rsidRDefault="009D2FA6">
      <w:pPr>
        <w:pStyle w:val="TOC2"/>
        <w:rPr>
          <w:rFonts w:eastAsiaTheme="minorEastAsia" w:cstheme="minorBidi"/>
          <w:b w:val="0"/>
          <w:bCs w:val="0"/>
          <w:noProof/>
          <w:sz w:val="24"/>
          <w:szCs w:val="24"/>
          <w:lang w:eastAsia="en-GB"/>
        </w:rPr>
      </w:pPr>
      <w:hyperlink w:anchor="_Toc69722981" w:history="1">
        <w:r w:rsidR="00F75DDB" w:rsidRPr="00F31B16">
          <w:rPr>
            <w:rStyle w:val="Hyperlink"/>
            <w:noProof/>
          </w:rPr>
          <w:t>Rationale for inclusion of the low-risk cohort</w:t>
        </w:r>
        <w:r w:rsidR="00F75DDB">
          <w:rPr>
            <w:noProof/>
            <w:webHidden/>
          </w:rPr>
          <w:tab/>
        </w:r>
        <w:r w:rsidR="00F75DDB">
          <w:rPr>
            <w:noProof/>
            <w:webHidden/>
          </w:rPr>
          <w:fldChar w:fldCharType="begin"/>
        </w:r>
        <w:r w:rsidR="00F75DDB">
          <w:rPr>
            <w:noProof/>
            <w:webHidden/>
          </w:rPr>
          <w:instrText xml:space="preserve"> PAGEREF _Toc69722981 \h </w:instrText>
        </w:r>
        <w:r w:rsidR="00F75DDB">
          <w:rPr>
            <w:noProof/>
            <w:webHidden/>
          </w:rPr>
        </w:r>
        <w:r w:rsidR="00F75DDB">
          <w:rPr>
            <w:noProof/>
            <w:webHidden/>
          </w:rPr>
          <w:fldChar w:fldCharType="separate"/>
        </w:r>
        <w:r w:rsidR="00F75DDB">
          <w:rPr>
            <w:noProof/>
            <w:webHidden/>
          </w:rPr>
          <w:t>4</w:t>
        </w:r>
        <w:r w:rsidR="00F75DDB">
          <w:rPr>
            <w:noProof/>
            <w:webHidden/>
          </w:rPr>
          <w:fldChar w:fldCharType="end"/>
        </w:r>
      </w:hyperlink>
    </w:p>
    <w:p w14:paraId="047A8547" w14:textId="5A41C3C3" w:rsidR="00F75DDB" w:rsidRDefault="009D2FA6">
      <w:pPr>
        <w:pStyle w:val="TOC2"/>
        <w:rPr>
          <w:rFonts w:eastAsiaTheme="minorEastAsia" w:cstheme="minorBidi"/>
          <w:b w:val="0"/>
          <w:bCs w:val="0"/>
          <w:noProof/>
          <w:sz w:val="24"/>
          <w:szCs w:val="24"/>
          <w:lang w:eastAsia="en-GB"/>
        </w:rPr>
      </w:pPr>
      <w:hyperlink w:anchor="_Toc69722982" w:history="1">
        <w:r w:rsidR="00F75DDB" w:rsidRPr="00F31B16">
          <w:rPr>
            <w:rStyle w:val="Hyperlink"/>
            <w:noProof/>
          </w:rPr>
          <w:t>Recruitment procedures</w:t>
        </w:r>
        <w:r w:rsidR="00F75DDB">
          <w:rPr>
            <w:noProof/>
            <w:webHidden/>
          </w:rPr>
          <w:tab/>
        </w:r>
        <w:r w:rsidR="00F75DDB">
          <w:rPr>
            <w:noProof/>
            <w:webHidden/>
          </w:rPr>
          <w:fldChar w:fldCharType="begin"/>
        </w:r>
        <w:r w:rsidR="00F75DDB">
          <w:rPr>
            <w:noProof/>
            <w:webHidden/>
          </w:rPr>
          <w:instrText xml:space="preserve"> PAGEREF _Toc69722982 \h </w:instrText>
        </w:r>
        <w:r w:rsidR="00F75DDB">
          <w:rPr>
            <w:noProof/>
            <w:webHidden/>
          </w:rPr>
        </w:r>
        <w:r w:rsidR="00F75DDB">
          <w:rPr>
            <w:noProof/>
            <w:webHidden/>
          </w:rPr>
          <w:fldChar w:fldCharType="separate"/>
        </w:r>
        <w:r w:rsidR="00F75DDB">
          <w:rPr>
            <w:noProof/>
            <w:webHidden/>
          </w:rPr>
          <w:t>4</w:t>
        </w:r>
        <w:r w:rsidR="00F75DDB">
          <w:rPr>
            <w:noProof/>
            <w:webHidden/>
          </w:rPr>
          <w:fldChar w:fldCharType="end"/>
        </w:r>
      </w:hyperlink>
    </w:p>
    <w:p w14:paraId="6B57A438" w14:textId="7F26DFE7" w:rsidR="00F75DDB" w:rsidRDefault="009D2FA6">
      <w:pPr>
        <w:pStyle w:val="TOC2"/>
        <w:rPr>
          <w:rFonts w:eastAsiaTheme="minorEastAsia" w:cstheme="minorBidi"/>
          <w:b w:val="0"/>
          <w:bCs w:val="0"/>
          <w:noProof/>
          <w:sz w:val="24"/>
          <w:szCs w:val="24"/>
          <w:lang w:eastAsia="en-GB"/>
        </w:rPr>
      </w:pPr>
      <w:hyperlink w:anchor="_Toc69722983" w:history="1">
        <w:r w:rsidR="00F75DDB" w:rsidRPr="00F31B16">
          <w:rPr>
            <w:rStyle w:val="Hyperlink"/>
            <w:noProof/>
          </w:rPr>
          <w:t>Clinical procedures</w:t>
        </w:r>
        <w:r w:rsidR="00F75DDB">
          <w:rPr>
            <w:noProof/>
            <w:webHidden/>
          </w:rPr>
          <w:tab/>
        </w:r>
        <w:r w:rsidR="00F75DDB">
          <w:rPr>
            <w:noProof/>
            <w:webHidden/>
          </w:rPr>
          <w:fldChar w:fldCharType="begin"/>
        </w:r>
        <w:r w:rsidR="00F75DDB">
          <w:rPr>
            <w:noProof/>
            <w:webHidden/>
          </w:rPr>
          <w:instrText xml:space="preserve"> PAGEREF _Toc69722983 \h </w:instrText>
        </w:r>
        <w:r w:rsidR="00F75DDB">
          <w:rPr>
            <w:noProof/>
            <w:webHidden/>
          </w:rPr>
        </w:r>
        <w:r w:rsidR="00F75DDB">
          <w:rPr>
            <w:noProof/>
            <w:webHidden/>
          </w:rPr>
          <w:fldChar w:fldCharType="separate"/>
        </w:r>
        <w:r w:rsidR="00F75DDB">
          <w:rPr>
            <w:noProof/>
            <w:webHidden/>
          </w:rPr>
          <w:t>4</w:t>
        </w:r>
        <w:r w:rsidR="00F75DDB">
          <w:rPr>
            <w:noProof/>
            <w:webHidden/>
          </w:rPr>
          <w:fldChar w:fldCharType="end"/>
        </w:r>
      </w:hyperlink>
    </w:p>
    <w:p w14:paraId="1C43F7B9" w14:textId="6F9C3CC1" w:rsidR="00F75DDB" w:rsidRDefault="009D2FA6">
      <w:pPr>
        <w:pStyle w:val="TOC2"/>
        <w:rPr>
          <w:rFonts w:eastAsiaTheme="minorEastAsia" w:cstheme="minorBidi"/>
          <w:b w:val="0"/>
          <w:bCs w:val="0"/>
          <w:noProof/>
          <w:sz w:val="24"/>
          <w:szCs w:val="24"/>
          <w:lang w:eastAsia="en-GB"/>
        </w:rPr>
      </w:pPr>
      <w:hyperlink w:anchor="_Toc69722984" w:history="1">
        <w:r w:rsidR="00F75DDB" w:rsidRPr="00F31B16">
          <w:rPr>
            <w:rStyle w:val="Hyperlink"/>
            <w:noProof/>
          </w:rPr>
          <w:t>Ascertainment of outcomes and treatments after pregnancy</w:t>
        </w:r>
        <w:r w:rsidR="00F75DDB">
          <w:rPr>
            <w:noProof/>
            <w:webHidden/>
          </w:rPr>
          <w:tab/>
        </w:r>
        <w:r w:rsidR="00F75DDB">
          <w:rPr>
            <w:noProof/>
            <w:webHidden/>
          </w:rPr>
          <w:fldChar w:fldCharType="begin"/>
        </w:r>
        <w:r w:rsidR="00F75DDB">
          <w:rPr>
            <w:noProof/>
            <w:webHidden/>
          </w:rPr>
          <w:instrText xml:space="preserve"> PAGEREF _Toc69722984 \h </w:instrText>
        </w:r>
        <w:r w:rsidR="00F75DDB">
          <w:rPr>
            <w:noProof/>
            <w:webHidden/>
          </w:rPr>
        </w:r>
        <w:r w:rsidR="00F75DDB">
          <w:rPr>
            <w:noProof/>
            <w:webHidden/>
          </w:rPr>
          <w:fldChar w:fldCharType="separate"/>
        </w:r>
        <w:r w:rsidR="00F75DDB">
          <w:rPr>
            <w:noProof/>
            <w:webHidden/>
          </w:rPr>
          <w:t>6</w:t>
        </w:r>
        <w:r w:rsidR="00F75DDB">
          <w:rPr>
            <w:noProof/>
            <w:webHidden/>
          </w:rPr>
          <w:fldChar w:fldCharType="end"/>
        </w:r>
      </w:hyperlink>
    </w:p>
    <w:p w14:paraId="768345F3" w14:textId="574EC6FA" w:rsidR="00F75DDB" w:rsidRDefault="009D2FA6">
      <w:pPr>
        <w:pStyle w:val="TOC2"/>
        <w:rPr>
          <w:rFonts w:eastAsiaTheme="minorEastAsia" w:cstheme="minorBidi"/>
          <w:b w:val="0"/>
          <w:bCs w:val="0"/>
          <w:noProof/>
          <w:sz w:val="24"/>
          <w:szCs w:val="24"/>
          <w:lang w:eastAsia="en-GB"/>
        </w:rPr>
      </w:pPr>
      <w:hyperlink w:anchor="_Toc69722985" w:history="1">
        <w:r w:rsidR="00F75DDB" w:rsidRPr="00F31B16">
          <w:rPr>
            <w:rStyle w:val="Hyperlink"/>
            <w:noProof/>
          </w:rPr>
          <w:t>Laboratory procedures</w:t>
        </w:r>
        <w:r w:rsidR="00F75DDB">
          <w:rPr>
            <w:noProof/>
            <w:webHidden/>
          </w:rPr>
          <w:tab/>
        </w:r>
        <w:r w:rsidR="00F75DDB">
          <w:rPr>
            <w:noProof/>
            <w:webHidden/>
          </w:rPr>
          <w:fldChar w:fldCharType="begin"/>
        </w:r>
        <w:r w:rsidR="00F75DDB">
          <w:rPr>
            <w:noProof/>
            <w:webHidden/>
          </w:rPr>
          <w:instrText xml:space="preserve"> PAGEREF _Toc69722985 \h </w:instrText>
        </w:r>
        <w:r w:rsidR="00F75DDB">
          <w:rPr>
            <w:noProof/>
            <w:webHidden/>
          </w:rPr>
        </w:r>
        <w:r w:rsidR="00F75DDB">
          <w:rPr>
            <w:noProof/>
            <w:webHidden/>
          </w:rPr>
          <w:fldChar w:fldCharType="separate"/>
        </w:r>
        <w:r w:rsidR="00F75DDB">
          <w:rPr>
            <w:noProof/>
            <w:webHidden/>
          </w:rPr>
          <w:t>6</w:t>
        </w:r>
        <w:r w:rsidR="00F75DDB">
          <w:rPr>
            <w:noProof/>
            <w:webHidden/>
          </w:rPr>
          <w:fldChar w:fldCharType="end"/>
        </w:r>
      </w:hyperlink>
    </w:p>
    <w:p w14:paraId="251F8200" w14:textId="4B48FC06" w:rsidR="00F75DDB" w:rsidRDefault="009D2FA6">
      <w:pPr>
        <w:pStyle w:val="TOC2"/>
        <w:rPr>
          <w:rFonts w:eastAsiaTheme="minorEastAsia" w:cstheme="minorBidi"/>
          <w:b w:val="0"/>
          <w:bCs w:val="0"/>
          <w:noProof/>
          <w:sz w:val="24"/>
          <w:szCs w:val="24"/>
          <w:lang w:eastAsia="en-GB"/>
        </w:rPr>
      </w:pPr>
      <w:hyperlink w:anchor="_Toc69722986" w:history="1">
        <w:r w:rsidR="00F75DDB" w:rsidRPr="00F31B16">
          <w:rPr>
            <w:rStyle w:val="Hyperlink"/>
            <w:noProof/>
          </w:rPr>
          <w:t>Molecular data processing</w:t>
        </w:r>
        <w:r w:rsidR="00F75DDB">
          <w:rPr>
            <w:noProof/>
            <w:webHidden/>
          </w:rPr>
          <w:tab/>
        </w:r>
        <w:r w:rsidR="00F75DDB">
          <w:rPr>
            <w:noProof/>
            <w:webHidden/>
          </w:rPr>
          <w:fldChar w:fldCharType="begin"/>
        </w:r>
        <w:r w:rsidR="00F75DDB">
          <w:rPr>
            <w:noProof/>
            <w:webHidden/>
          </w:rPr>
          <w:instrText xml:space="preserve"> PAGEREF _Toc69722986 \h </w:instrText>
        </w:r>
        <w:r w:rsidR="00F75DDB">
          <w:rPr>
            <w:noProof/>
            <w:webHidden/>
          </w:rPr>
        </w:r>
        <w:r w:rsidR="00F75DDB">
          <w:rPr>
            <w:noProof/>
            <w:webHidden/>
          </w:rPr>
          <w:fldChar w:fldCharType="separate"/>
        </w:r>
        <w:r w:rsidR="00F75DDB">
          <w:rPr>
            <w:noProof/>
            <w:webHidden/>
          </w:rPr>
          <w:t>8</w:t>
        </w:r>
        <w:r w:rsidR="00F75DDB">
          <w:rPr>
            <w:noProof/>
            <w:webHidden/>
          </w:rPr>
          <w:fldChar w:fldCharType="end"/>
        </w:r>
      </w:hyperlink>
    </w:p>
    <w:p w14:paraId="44CB0441" w14:textId="5088BC50" w:rsidR="00F75DDB" w:rsidRDefault="009D2FA6">
      <w:pPr>
        <w:pStyle w:val="TOC2"/>
        <w:rPr>
          <w:rFonts w:eastAsiaTheme="minorEastAsia" w:cstheme="minorBidi"/>
          <w:b w:val="0"/>
          <w:bCs w:val="0"/>
          <w:noProof/>
          <w:sz w:val="24"/>
          <w:szCs w:val="24"/>
          <w:lang w:eastAsia="en-GB"/>
        </w:rPr>
      </w:pPr>
      <w:hyperlink w:anchor="_Toc69722987" w:history="1">
        <w:r w:rsidR="00F75DDB" w:rsidRPr="00F31B16">
          <w:rPr>
            <w:rStyle w:val="Hyperlink"/>
            <w:noProof/>
          </w:rPr>
          <w:t>Selection of participants for nested case-control study</w:t>
        </w:r>
        <w:r w:rsidR="00F75DDB">
          <w:rPr>
            <w:noProof/>
            <w:webHidden/>
          </w:rPr>
          <w:tab/>
        </w:r>
        <w:r w:rsidR="00F75DDB">
          <w:rPr>
            <w:noProof/>
            <w:webHidden/>
          </w:rPr>
          <w:fldChar w:fldCharType="begin"/>
        </w:r>
        <w:r w:rsidR="00F75DDB">
          <w:rPr>
            <w:noProof/>
            <w:webHidden/>
          </w:rPr>
          <w:instrText xml:space="preserve"> PAGEREF _Toc69722987 \h </w:instrText>
        </w:r>
        <w:r w:rsidR="00F75DDB">
          <w:rPr>
            <w:noProof/>
            <w:webHidden/>
          </w:rPr>
        </w:r>
        <w:r w:rsidR="00F75DDB">
          <w:rPr>
            <w:noProof/>
            <w:webHidden/>
          </w:rPr>
          <w:fldChar w:fldCharType="separate"/>
        </w:r>
        <w:r w:rsidR="00F75DDB">
          <w:rPr>
            <w:noProof/>
            <w:webHidden/>
          </w:rPr>
          <w:t>9</w:t>
        </w:r>
        <w:r w:rsidR="00F75DDB">
          <w:rPr>
            <w:noProof/>
            <w:webHidden/>
          </w:rPr>
          <w:fldChar w:fldCharType="end"/>
        </w:r>
      </w:hyperlink>
    </w:p>
    <w:p w14:paraId="3B6F0BAD" w14:textId="4364658B" w:rsidR="00F75DDB" w:rsidRDefault="009D2FA6">
      <w:pPr>
        <w:pStyle w:val="TOC2"/>
        <w:rPr>
          <w:rFonts w:eastAsiaTheme="minorEastAsia" w:cstheme="minorBidi"/>
          <w:b w:val="0"/>
          <w:bCs w:val="0"/>
          <w:noProof/>
          <w:sz w:val="24"/>
          <w:szCs w:val="24"/>
          <w:lang w:eastAsia="en-GB"/>
        </w:rPr>
      </w:pPr>
      <w:hyperlink w:anchor="_Toc69722988" w:history="1">
        <w:r w:rsidR="00F75DDB" w:rsidRPr="00F31B16">
          <w:rPr>
            <w:rStyle w:val="Hyperlink"/>
            <w:noProof/>
          </w:rPr>
          <w:t xml:space="preserve">Rationale for low-risk term group gestation of birth </w:t>
        </w:r>
        <w:r w:rsidR="00F75DDB" w:rsidRPr="00F31B16">
          <w:rPr>
            <w:rStyle w:val="Hyperlink"/>
            <w:i/>
            <w:iCs/>
            <w:noProof/>
          </w:rPr>
          <w:t>≥39</w:t>
        </w:r>
        <w:r w:rsidR="00F75DDB" w:rsidRPr="00F31B16">
          <w:rPr>
            <w:rStyle w:val="Hyperlink"/>
            <w:i/>
            <w:iCs/>
            <w:noProof/>
            <w:vertAlign w:val="superscript"/>
          </w:rPr>
          <w:t xml:space="preserve">+0 </w:t>
        </w:r>
        <w:r w:rsidR="00F75DDB" w:rsidRPr="00F31B16">
          <w:rPr>
            <w:rStyle w:val="Hyperlink"/>
            <w:i/>
            <w:iCs/>
            <w:noProof/>
          </w:rPr>
          <w:t>weeks</w:t>
        </w:r>
        <w:r w:rsidR="00F75DDB">
          <w:rPr>
            <w:noProof/>
            <w:webHidden/>
          </w:rPr>
          <w:tab/>
        </w:r>
        <w:r w:rsidR="00F75DDB">
          <w:rPr>
            <w:noProof/>
            <w:webHidden/>
          </w:rPr>
          <w:fldChar w:fldCharType="begin"/>
        </w:r>
        <w:r w:rsidR="00F75DDB">
          <w:rPr>
            <w:noProof/>
            <w:webHidden/>
          </w:rPr>
          <w:instrText xml:space="preserve"> PAGEREF _Toc69722988 \h </w:instrText>
        </w:r>
        <w:r w:rsidR="00F75DDB">
          <w:rPr>
            <w:noProof/>
            <w:webHidden/>
          </w:rPr>
        </w:r>
        <w:r w:rsidR="00F75DDB">
          <w:rPr>
            <w:noProof/>
            <w:webHidden/>
          </w:rPr>
          <w:fldChar w:fldCharType="separate"/>
        </w:r>
        <w:r w:rsidR="00F75DDB">
          <w:rPr>
            <w:noProof/>
            <w:webHidden/>
          </w:rPr>
          <w:t>9</w:t>
        </w:r>
        <w:r w:rsidR="00F75DDB">
          <w:rPr>
            <w:noProof/>
            <w:webHidden/>
          </w:rPr>
          <w:fldChar w:fldCharType="end"/>
        </w:r>
      </w:hyperlink>
    </w:p>
    <w:p w14:paraId="2E1FD26D" w14:textId="225B8848" w:rsidR="00F75DDB" w:rsidRDefault="009D2FA6">
      <w:pPr>
        <w:pStyle w:val="TOC2"/>
        <w:rPr>
          <w:rFonts w:eastAsiaTheme="minorEastAsia" w:cstheme="minorBidi"/>
          <w:b w:val="0"/>
          <w:bCs w:val="0"/>
          <w:noProof/>
          <w:sz w:val="24"/>
          <w:szCs w:val="24"/>
          <w:lang w:eastAsia="en-GB"/>
        </w:rPr>
      </w:pPr>
      <w:hyperlink w:anchor="_Toc69722989" w:history="1">
        <w:r w:rsidR="00F75DDB" w:rsidRPr="00F31B16">
          <w:rPr>
            <w:rStyle w:val="Hyperlink"/>
            <w:noProof/>
          </w:rPr>
          <w:t xml:space="preserve">Rationale for high-risk term group gestation of birth </w:t>
        </w:r>
        <w:r w:rsidR="00F75DDB" w:rsidRPr="00F31B16">
          <w:rPr>
            <w:rStyle w:val="Hyperlink"/>
            <w:i/>
            <w:iCs/>
            <w:noProof/>
          </w:rPr>
          <w:t>≥37</w:t>
        </w:r>
        <w:r w:rsidR="00F75DDB" w:rsidRPr="00F31B16">
          <w:rPr>
            <w:rStyle w:val="Hyperlink"/>
            <w:i/>
            <w:iCs/>
            <w:noProof/>
            <w:vertAlign w:val="superscript"/>
          </w:rPr>
          <w:t xml:space="preserve">+0 </w:t>
        </w:r>
        <w:r w:rsidR="00F75DDB" w:rsidRPr="00F31B16">
          <w:rPr>
            <w:rStyle w:val="Hyperlink"/>
            <w:i/>
            <w:iCs/>
            <w:noProof/>
          </w:rPr>
          <w:t>weeks</w:t>
        </w:r>
        <w:r w:rsidR="00F75DDB">
          <w:rPr>
            <w:noProof/>
            <w:webHidden/>
          </w:rPr>
          <w:tab/>
        </w:r>
        <w:r w:rsidR="00F75DDB">
          <w:rPr>
            <w:noProof/>
            <w:webHidden/>
          </w:rPr>
          <w:fldChar w:fldCharType="begin"/>
        </w:r>
        <w:r w:rsidR="00F75DDB">
          <w:rPr>
            <w:noProof/>
            <w:webHidden/>
          </w:rPr>
          <w:instrText xml:space="preserve"> PAGEREF _Toc69722989 \h </w:instrText>
        </w:r>
        <w:r w:rsidR="00F75DDB">
          <w:rPr>
            <w:noProof/>
            <w:webHidden/>
          </w:rPr>
        </w:r>
        <w:r w:rsidR="00F75DDB">
          <w:rPr>
            <w:noProof/>
            <w:webHidden/>
          </w:rPr>
          <w:fldChar w:fldCharType="separate"/>
        </w:r>
        <w:r w:rsidR="00F75DDB">
          <w:rPr>
            <w:noProof/>
            <w:webHidden/>
          </w:rPr>
          <w:t>9</w:t>
        </w:r>
        <w:r w:rsidR="00F75DDB">
          <w:rPr>
            <w:noProof/>
            <w:webHidden/>
          </w:rPr>
          <w:fldChar w:fldCharType="end"/>
        </w:r>
      </w:hyperlink>
    </w:p>
    <w:p w14:paraId="15D86CA0" w14:textId="24C712E6" w:rsidR="00F75DDB" w:rsidRDefault="009D2FA6">
      <w:pPr>
        <w:pStyle w:val="TOC2"/>
        <w:rPr>
          <w:rFonts w:eastAsiaTheme="minorEastAsia" w:cstheme="minorBidi"/>
          <w:b w:val="0"/>
          <w:bCs w:val="0"/>
          <w:noProof/>
          <w:sz w:val="24"/>
          <w:szCs w:val="24"/>
          <w:lang w:eastAsia="en-GB"/>
        </w:rPr>
      </w:pPr>
      <w:hyperlink w:anchor="_Toc69722990" w:history="1">
        <w:r w:rsidR="00F75DDB" w:rsidRPr="00F31B16">
          <w:rPr>
            <w:rStyle w:val="Hyperlink"/>
            <w:noProof/>
          </w:rPr>
          <w:t>Definition of PPROM</w:t>
        </w:r>
        <w:r w:rsidR="00F75DDB">
          <w:rPr>
            <w:noProof/>
            <w:webHidden/>
          </w:rPr>
          <w:tab/>
        </w:r>
        <w:r w:rsidR="00F75DDB">
          <w:rPr>
            <w:noProof/>
            <w:webHidden/>
          </w:rPr>
          <w:fldChar w:fldCharType="begin"/>
        </w:r>
        <w:r w:rsidR="00F75DDB">
          <w:rPr>
            <w:noProof/>
            <w:webHidden/>
          </w:rPr>
          <w:instrText xml:space="preserve"> PAGEREF _Toc69722990 \h </w:instrText>
        </w:r>
        <w:r w:rsidR="00F75DDB">
          <w:rPr>
            <w:noProof/>
            <w:webHidden/>
          </w:rPr>
        </w:r>
        <w:r w:rsidR="00F75DDB">
          <w:rPr>
            <w:noProof/>
            <w:webHidden/>
          </w:rPr>
          <w:fldChar w:fldCharType="separate"/>
        </w:r>
        <w:r w:rsidR="00F75DDB">
          <w:rPr>
            <w:noProof/>
            <w:webHidden/>
          </w:rPr>
          <w:t>9</w:t>
        </w:r>
        <w:r w:rsidR="00F75DDB">
          <w:rPr>
            <w:noProof/>
            <w:webHidden/>
          </w:rPr>
          <w:fldChar w:fldCharType="end"/>
        </w:r>
      </w:hyperlink>
    </w:p>
    <w:p w14:paraId="2ACC057A" w14:textId="751E5B31" w:rsidR="00F75DDB" w:rsidRDefault="009D2FA6">
      <w:pPr>
        <w:pStyle w:val="TOC2"/>
        <w:rPr>
          <w:rFonts w:eastAsiaTheme="minorEastAsia" w:cstheme="minorBidi"/>
          <w:b w:val="0"/>
          <w:bCs w:val="0"/>
          <w:noProof/>
          <w:sz w:val="24"/>
          <w:szCs w:val="24"/>
          <w:lang w:eastAsia="en-GB"/>
        </w:rPr>
      </w:pPr>
      <w:hyperlink w:anchor="_Toc69722991" w:history="1">
        <w:r w:rsidR="00F75DDB" w:rsidRPr="00F31B16">
          <w:rPr>
            <w:rStyle w:val="Hyperlink"/>
            <w:noProof/>
          </w:rPr>
          <w:t>Final samples included in the analyses</w:t>
        </w:r>
        <w:r w:rsidR="00F75DDB">
          <w:rPr>
            <w:noProof/>
            <w:webHidden/>
          </w:rPr>
          <w:tab/>
        </w:r>
        <w:r w:rsidR="00F75DDB">
          <w:rPr>
            <w:noProof/>
            <w:webHidden/>
          </w:rPr>
          <w:fldChar w:fldCharType="begin"/>
        </w:r>
        <w:r w:rsidR="00F75DDB">
          <w:rPr>
            <w:noProof/>
            <w:webHidden/>
          </w:rPr>
          <w:instrText xml:space="preserve"> PAGEREF _Toc69722991 \h </w:instrText>
        </w:r>
        <w:r w:rsidR="00F75DDB">
          <w:rPr>
            <w:noProof/>
            <w:webHidden/>
          </w:rPr>
        </w:r>
        <w:r w:rsidR="00F75DDB">
          <w:rPr>
            <w:noProof/>
            <w:webHidden/>
          </w:rPr>
          <w:fldChar w:fldCharType="separate"/>
        </w:r>
        <w:r w:rsidR="00F75DDB">
          <w:rPr>
            <w:noProof/>
            <w:webHidden/>
          </w:rPr>
          <w:t>9</w:t>
        </w:r>
        <w:r w:rsidR="00F75DDB">
          <w:rPr>
            <w:noProof/>
            <w:webHidden/>
          </w:rPr>
          <w:fldChar w:fldCharType="end"/>
        </w:r>
      </w:hyperlink>
    </w:p>
    <w:p w14:paraId="6FFADA81" w14:textId="12846753" w:rsidR="00F75DDB" w:rsidRDefault="009D2FA6">
      <w:pPr>
        <w:pStyle w:val="TOC2"/>
        <w:rPr>
          <w:rFonts w:eastAsiaTheme="minorEastAsia" w:cstheme="minorBidi"/>
          <w:b w:val="0"/>
          <w:bCs w:val="0"/>
          <w:noProof/>
          <w:sz w:val="24"/>
          <w:szCs w:val="24"/>
          <w:lang w:eastAsia="en-GB"/>
        </w:rPr>
      </w:pPr>
      <w:hyperlink w:anchor="_Toc69722992" w:history="1">
        <w:r w:rsidR="00F75DDB" w:rsidRPr="00F31B16">
          <w:rPr>
            <w:rStyle w:val="Hyperlink"/>
            <w:noProof/>
          </w:rPr>
          <w:t>Creation and selection of VMB variables</w:t>
        </w:r>
        <w:r w:rsidR="00F75DDB">
          <w:rPr>
            <w:noProof/>
            <w:webHidden/>
          </w:rPr>
          <w:tab/>
        </w:r>
        <w:r w:rsidR="00F75DDB">
          <w:rPr>
            <w:noProof/>
            <w:webHidden/>
          </w:rPr>
          <w:fldChar w:fldCharType="begin"/>
        </w:r>
        <w:r w:rsidR="00F75DDB">
          <w:rPr>
            <w:noProof/>
            <w:webHidden/>
          </w:rPr>
          <w:instrText xml:space="preserve"> PAGEREF _Toc69722992 \h </w:instrText>
        </w:r>
        <w:r w:rsidR="00F75DDB">
          <w:rPr>
            <w:noProof/>
            <w:webHidden/>
          </w:rPr>
        </w:r>
        <w:r w:rsidR="00F75DDB">
          <w:rPr>
            <w:noProof/>
            <w:webHidden/>
          </w:rPr>
          <w:fldChar w:fldCharType="separate"/>
        </w:r>
        <w:r w:rsidR="00F75DDB">
          <w:rPr>
            <w:noProof/>
            <w:webHidden/>
          </w:rPr>
          <w:t>10</w:t>
        </w:r>
        <w:r w:rsidR="00F75DDB">
          <w:rPr>
            <w:noProof/>
            <w:webHidden/>
          </w:rPr>
          <w:fldChar w:fldCharType="end"/>
        </w:r>
      </w:hyperlink>
    </w:p>
    <w:p w14:paraId="059D881E" w14:textId="05653E69" w:rsidR="00F75DDB" w:rsidRDefault="009D2FA6">
      <w:pPr>
        <w:pStyle w:val="TOC2"/>
        <w:rPr>
          <w:rFonts w:eastAsiaTheme="minorEastAsia" w:cstheme="minorBidi"/>
          <w:b w:val="0"/>
          <w:bCs w:val="0"/>
          <w:noProof/>
          <w:sz w:val="24"/>
          <w:szCs w:val="24"/>
          <w:lang w:eastAsia="en-GB"/>
        </w:rPr>
      </w:pPr>
      <w:hyperlink w:anchor="_Toc69722993" w:history="1">
        <w:r w:rsidR="00F75DDB" w:rsidRPr="00F31B16">
          <w:rPr>
            <w:rStyle w:val="Hyperlink"/>
            <w:noProof/>
          </w:rPr>
          <w:t>Assessment of changes in VMB compositions between 16 and 20 weeks gestation.</w:t>
        </w:r>
        <w:r w:rsidR="00F75DDB">
          <w:rPr>
            <w:noProof/>
            <w:webHidden/>
          </w:rPr>
          <w:tab/>
        </w:r>
        <w:r w:rsidR="00F75DDB">
          <w:rPr>
            <w:noProof/>
            <w:webHidden/>
          </w:rPr>
          <w:fldChar w:fldCharType="begin"/>
        </w:r>
        <w:r w:rsidR="00F75DDB">
          <w:rPr>
            <w:noProof/>
            <w:webHidden/>
          </w:rPr>
          <w:instrText xml:space="preserve"> PAGEREF _Toc69722993 \h </w:instrText>
        </w:r>
        <w:r w:rsidR="00F75DDB">
          <w:rPr>
            <w:noProof/>
            <w:webHidden/>
          </w:rPr>
        </w:r>
        <w:r w:rsidR="00F75DDB">
          <w:rPr>
            <w:noProof/>
            <w:webHidden/>
          </w:rPr>
          <w:fldChar w:fldCharType="separate"/>
        </w:r>
        <w:r w:rsidR="00F75DDB">
          <w:rPr>
            <w:noProof/>
            <w:webHidden/>
          </w:rPr>
          <w:t>11</w:t>
        </w:r>
        <w:r w:rsidR="00F75DDB">
          <w:rPr>
            <w:noProof/>
            <w:webHidden/>
          </w:rPr>
          <w:fldChar w:fldCharType="end"/>
        </w:r>
      </w:hyperlink>
    </w:p>
    <w:p w14:paraId="077BA71E" w14:textId="33C56D91" w:rsidR="00F75DDB" w:rsidRDefault="009D2FA6">
      <w:pPr>
        <w:pStyle w:val="TOC2"/>
        <w:rPr>
          <w:rFonts w:eastAsiaTheme="minorEastAsia" w:cstheme="minorBidi"/>
          <w:b w:val="0"/>
          <w:bCs w:val="0"/>
          <w:noProof/>
          <w:sz w:val="24"/>
          <w:szCs w:val="24"/>
          <w:lang w:eastAsia="en-GB"/>
        </w:rPr>
      </w:pPr>
      <w:hyperlink w:anchor="_Toc69722994" w:history="1">
        <w:r w:rsidR="00F75DDB" w:rsidRPr="00F31B16">
          <w:rPr>
            <w:rStyle w:val="Hyperlink"/>
            <w:noProof/>
          </w:rPr>
          <w:t>Statistical analyses</w:t>
        </w:r>
        <w:r w:rsidR="00F75DDB">
          <w:rPr>
            <w:noProof/>
            <w:webHidden/>
          </w:rPr>
          <w:tab/>
        </w:r>
        <w:r w:rsidR="00F75DDB">
          <w:rPr>
            <w:noProof/>
            <w:webHidden/>
          </w:rPr>
          <w:fldChar w:fldCharType="begin"/>
        </w:r>
        <w:r w:rsidR="00F75DDB">
          <w:rPr>
            <w:noProof/>
            <w:webHidden/>
          </w:rPr>
          <w:instrText xml:space="preserve"> PAGEREF _Toc69722994 \h </w:instrText>
        </w:r>
        <w:r w:rsidR="00F75DDB">
          <w:rPr>
            <w:noProof/>
            <w:webHidden/>
          </w:rPr>
        </w:r>
        <w:r w:rsidR="00F75DDB">
          <w:rPr>
            <w:noProof/>
            <w:webHidden/>
          </w:rPr>
          <w:fldChar w:fldCharType="separate"/>
        </w:r>
        <w:r w:rsidR="00F75DDB">
          <w:rPr>
            <w:noProof/>
            <w:webHidden/>
          </w:rPr>
          <w:t>11</w:t>
        </w:r>
        <w:r w:rsidR="00F75DDB">
          <w:rPr>
            <w:noProof/>
            <w:webHidden/>
          </w:rPr>
          <w:fldChar w:fldCharType="end"/>
        </w:r>
      </w:hyperlink>
    </w:p>
    <w:p w14:paraId="2DC6D090" w14:textId="1B76F431" w:rsidR="00F75DDB" w:rsidRDefault="009D2FA6">
      <w:pPr>
        <w:pStyle w:val="TOC2"/>
        <w:rPr>
          <w:rFonts w:eastAsiaTheme="minorEastAsia" w:cstheme="minorBidi"/>
          <w:b w:val="0"/>
          <w:bCs w:val="0"/>
          <w:noProof/>
          <w:sz w:val="24"/>
          <w:szCs w:val="24"/>
          <w:lang w:eastAsia="en-GB"/>
        </w:rPr>
      </w:pPr>
      <w:hyperlink w:anchor="_Toc69722995" w:history="1">
        <w:r w:rsidR="00F75DDB" w:rsidRPr="00F31B16">
          <w:rPr>
            <w:rStyle w:val="Hyperlink"/>
            <w:noProof/>
          </w:rPr>
          <w:t>Crown initiative</w:t>
        </w:r>
        <w:r w:rsidR="00F75DDB">
          <w:rPr>
            <w:noProof/>
            <w:webHidden/>
          </w:rPr>
          <w:tab/>
        </w:r>
        <w:r w:rsidR="00F75DDB">
          <w:rPr>
            <w:noProof/>
            <w:webHidden/>
          </w:rPr>
          <w:fldChar w:fldCharType="begin"/>
        </w:r>
        <w:r w:rsidR="00F75DDB">
          <w:rPr>
            <w:noProof/>
            <w:webHidden/>
          </w:rPr>
          <w:instrText xml:space="preserve"> PAGEREF _Toc69722995 \h </w:instrText>
        </w:r>
        <w:r w:rsidR="00F75DDB">
          <w:rPr>
            <w:noProof/>
            <w:webHidden/>
          </w:rPr>
        </w:r>
        <w:r w:rsidR="00F75DDB">
          <w:rPr>
            <w:noProof/>
            <w:webHidden/>
          </w:rPr>
          <w:fldChar w:fldCharType="separate"/>
        </w:r>
        <w:r w:rsidR="00F75DDB">
          <w:rPr>
            <w:noProof/>
            <w:webHidden/>
          </w:rPr>
          <w:t>12</w:t>
        </w:r>
        <w:r w:rsidR="00F75DDB">
          <w:rPr>
            <w:noProof/>
            <w:webHidden/>
          </w:rPr>
          <w:fldChar w:fldCharType="end"/>
        </w:r>
      </w:hyperlink>
    </w:p>
    <w:p w14:paraId="3F3BF3A9" w14:textId="6624FD25" w:rsidR="00F75DDB" w:rsidRDefault="009D2FA6">
      <w:pPr>
        <w:pStyle w:val="TOC2"/>
        <w:rPr>
          <w:rFonts w:eastAsiaTheme="minorEastAsia" w:cstheme="minorBidi"/>
          <w:b w:val="0"/>
          <w:bCs w:val="0"/>
          <w:noProof/>
          <w:sz w:val="24"/>
          <w:szCs w:val="24"/>
          <w:lang w:eastAsia="en-GB"/>
        </w:rPr>
      </w:pPr>
      <w:hyperlink w:anchor="_Toc69722996" w:history="1">
        <w:r w:rsidR="00F75DDB" w:rsidRPr="00F31B16">
          <w:rPr>
            <w:rStyle w:val="Hyperlink"/>
            <w:noProof/>
          </w:rPr>
          <w:t>Patient and public engagement</w:t>
        </w:r>
        <w:r w:rsidR="00F75DDB">
          <w:rPr>
            <w:noProof/>
            <w:webHidden/>
          </w:rPr>
          <w:tab/>
        </w:r>
        <w:r w:rsidR="00F75DDB">
          <w:rPr>
            <w:noProof/>
            <w:webHidden/>
          </w:rPr>
          <w:fldChar w:fldCharType="begin"/>
        </w:r>
        <w:r w:rsidR="00F75DDB">
          <w:rPr>
            <w:noProof/>
            <w:webHidden/>
          </w:rPr>
          <w:instrText xml:space="preserve"> PAGEREF _Toc69722996 \h </w:instrText>
        </w:r>
        <w:r w:rsidR="00F75DDB">
          <w:rPr>
            <w:noProof/>
            <w:webHidden/>
          </w:rPr>
        </w:r>
        <w:r w:rsidR="00F75DDB">
          <w:rPr>
            <w:noProof/>
            <w:webHidden/>
          </w:rPr>
          <w:fldChar w:fldCharType="separate"/>
        </w:r>
        <w:r w:rsidR="00F75DDB">
          <w:rPr>
            <w:noProof/>
            <w:webHidden/>
          </w:rPr>
          <w:t>12</w:t>
        </w:r>
        <w:r w:rsidR="00F75DDB">
          <w:rPr>
            <w:noProof/>
            <w:webHidden/>
          </w:rPr>
          <w:fldChar w:fldCharType="end"/>
        </w:r>
      </w:hyperlink>
    </w:p>
    <w:p w14:paraId="79FF81F1" w14:textId="182E6916" w:rsidR="00F75DDB" w:rsidRDefault="009D2FA6">
      <w:pPr>
        <w:pStyle w:val="TOC2"/>
        <w:rPr>
          <w:rFonts w:eastAsiaTheme="minorEastAsia" w:cstheme="minorBidi"/>
          <w:b w:val="0"/>
          <w:bCs w:val="0"/>
          <w:noProof/>
          <w:sz w:val="24"/>
          <w:szCs w:val="24"/>
          <w:lang w:eastAsia="en-GB"/>
        </w:rPr>
      </w:pPr>
      <w:hyperlink w:anchor="_Toc69722997" w:history="1">
        <w:r w:rsidR="00F75DDB" w:rsidRPr="00F31B16">
          <w:rPr>
            <w:rStyle w:val="Hyperlink"/>
            <w:noProof/>
          </w:rPr>
          <w:t>References</w:t>
        </w:r>
        <w:r w:rsidR="00F75DDB">
          <w:rPr>
            <w:noProof/>
            <w:webHidden/>
          </w:rPr>
          <w:tab/>
        </w:r>
        <w:r w:rsidR="00F75DDB">
          <w:rPr>
            <w:noProof/>
            <w:webHidden/>
          </w:rPr>
          <w:fldChar w:fldCharType="begin"/>
        </w:r>
        <w:r w:rsidR="00F75DDB">
          <w:rPr>
            <w:noProof/>
            <w:webHidden/>
          </w:rPr>
          <w:instrText xml:space="preserve"> PAGEREF _Toc69722997 \h </w:instrText>
        </w:r>
        <w:r w:rsidR="00F75DDB">
          <w:rPr>
            <w:noProof/>
            <w:webHidden/>
          </w:rPr>
        </w:r>
        <w:r w:rsidR="00F75DDB">
          <w:rPr>
            <w:noProof/>
            <w:webHidden/>
          </w:rPr>
          <w:fldChar w:fldCharType="separate"/>
        </w:r>
        <w:r w:rsidR="00F75DDB">
          <w:rPr>
            <w:noProof/>
            <w:webHidden/>
          </w:rPr>
          <w:t>13</w:t>
        </w:r>
        <w:r w:rsidR="00F75DDB">
          <w:rPr>
            <w:noProof/>
            <w:webHidden/>
          </w:rPr>
          <w:fldChar w:fldCharType="end"/>
        </w:r>
      </w:hyperlink>
    </w:p>
    <w:p w14:paraId="5A28FBCD" w14:textId="6A92BEDF" w:rsidR="00F75DDB" w:rsidRDefault="009D2FA6" w:rsidP="00E83315">
      <w:pPr>
        <w:pStyle w:val="TOC1"/>
        <w:rPr>
          <w:rFonts w:eastAsiaTheme="minorEastAsia" w:cstheme="minorBidi"/>
          <w:noProof/>
          <w:sz w:val="24"/>
          <w:lang w:eastAsia="en-GB"/>
        </w:rPr>
      </w:pPr>
      <w:hyperlink w:anchor="_Toc69722998" w:history="1">
        <w:r w:rsidR="00F75DDB" w:rsidRPr="00F31B16">
          <w:rPr>
            <w:rStyle w:val="Hyperlink"/>
            <w:noProof/>
          </w:rPr>
          <w:t>Supplementary Figures</w:t>
        </w:r>
        <w:r w:rsidR="00F75DDB">
          <w:rPr>
            <w:noProof/>
            <w:webHidden/>
          </w:rPr>
          <w:tab/>
        </w:r>
        <w:r w:rsidR="00F75DDB">
          <w:rPr>
            <w:noProof/>
            <w:webHidden/>
          </w:rPr>
          <w:fldChar w:fldCharType="begin"/>
        </w:r>
        <w:r w:rsidR="00F75DDB">
          <w:rPr>
            <w:noProof/>
            <w:webHidden/>
          </w:rPr>
          <w:instrText xml:space="preserve"> PAGEREF _Toc69722998 \h </w:instrText>
        </w:r>
        <w:r w:rsidR="00F75DDB">
          <w:rPr>
            <w:noProof/>
            <w:webHidden/>
          </w:rPr>
        </w:r>
        <w:r w:rsidR="00F75DDB">
          <w:rPr>
            <w:noProof/>
            <w:webHidden/>
          </w:rPr>
          <w:fldChar w:fldCharType="separate"/>
        </w:r>
        <w:r w:rsidR="00F75DDB">
          <w:rPr>
            <w:noProof/>
            <w:webHidden/>
          </w:rPr>
          <w:t>16</w:t>
        </w:r>
        <w:r w:rsidR="00F75DDB">
          <w:rPr>
            <w:noProof/>
            <w:webHidden/>
          </w:rPr>
          <w:fldChar w:fldCharType="end"/>
        </w:r>
      </w:hyperlink>
    </w:p>
    <w:p w14:paraId="7150CE0C" w14:textId="60DE5DFD" w:rsidR="00F75DDB" w:rsidRDefault="009D2FA6" w:rsidP="00E83315">
      <w:pPr>
        <w:pStyle w:val="TOC1"/>
        <w:rPr>
          <w:rFonts w:eastAsiaTheme="minorEastAsia" w:cstheme="minorBidi"/>
          <w:noProof/>
          <w:sz w:val="24"/>
          <w:lang w:eastAsia="en-GB"/>
        </w:rPr>
      </w:pPr>
      <w:hyperlink w:anchor="_Toc69722999" w:history="1">
        <w:r w:rsidR="00F75DDB" w:rsidRPr="00F31B16">
          <w:rPr>
            <w:rStyle w:val="Hyperlink"/>
            <w:noProof/>
          </w:rPr>
          <w:t>Supplementary TableS</w:t>
        </w:r>
        <w:r w:rsidR="00F75DDB">
          <w:rPr>
            <w:noProof/>
            <w:webHidden/>
          </w:rPr>
          <w:tab/>
        </w:r>
        <w:r w:rsidR="00F75DDB">
          <w:rPr>
            <w:noProof/>
            <w:webHidden/>
          </w:rPr>
          <w:fldChar w:fldCharType="begin"/>
        </w:r>
        <w:r w:rsidR="00F75DDB">
          <w:rPr>
            <w:noProof/>
            <w:webHidden/>
          </w:rPr>
          <w:instrText xml:space="preserve"> PAGEREF _Toc69722999 \h </w:instrText>
        </w:r>
        <w:r w:rsidR="00F75DDB">
          <w:rPr>
            <w:noProof/>
            <w:webHidden/>
          </w:rPr>
        </w:r>
        <w:r w:rsidR="00F75DDB">
          <w:rPr>
            <w:noProof/>
            <w:webHidden/>
          </w:rPr>
          <w:fldChar w:fldCharType="separate"/>
        </w:r>
        <w:r w:rsidR="00F75DDB">
          <w:rPr>
            <w:noProof/>
            <w:webHidden/>
          </w:rPr>
          <w:t>18</w:t>
        </w:r>
        <w:r w:rsidR="00F75DDB">
          <w:rPr>
            <w:noProof/>
            <w:webHidden/>
          </w:rPr>
          <w:fldChar w:fldCharType="end"/>
        </w:r>
      </w:hyperlink>
    </w:p>
    <w:p w14:paraId="3BB442C8" w14:textId="43FD95C0" w:rsidR="00AF3CEB" w:rsidRPr="001823ED" w:rsidRDefault="00A61BF8" w:rsidP="009D21B5">
      <w:pPr>
        <w:widowControl w:val="0"/>
      </w:pPr>
      <w:r w:rsidRPr="001823ED">
        <w:rPr>
          <w:rFonts w:asciiTheme="majorHAnsi" w:eastAsia="Calibri" w:hAnsiTheme="majorHAnsi" w:cstheme="majorHAnsi"/>
          <w:szCs w:val="22"/>
          <w:lang w:eastAsia="en-US"/>
        </w:rPr>
        <w:fldChar w:fldCharType="end"/>
      </w:r>
    </w:p>
    <w:p w14:paraId="7D4A5101" w14:textId="77777777" w:rsidR="00973FB5" w:rsidRPr="001823ED" w:rsidRDefault="00973FB5" w:rsidP="009D21B5">
      <w:pPr>
        <w:widowControl w:val="0"/>
      </w:pPr>
      <w:r w:rsidRPr="001823ED">
        <w:br w:type="page"/>
      </w:r>
    </w:p>
    <w:p w14:paraId="2E8511D5" w14:textId="7F8EF5EB" w:rsidR="00973FB5" w:rsidRPr="001823ED" w:rsidRDefault="00F770F7" w:rsidP="009D21B5">
      <w:pPr>
        <w:pStyle w:val="Heading1"/>
        <w:rPr>
          <w:lang w:val="en-GB"/>
        </w:rPr>
      </w:pPr>
      <w:bookmarkStart w:id="6" w:name="_Toc69722979"/>
      <w:r w:rsidRPr="001823ED">
        <w:rPr>
          <w:lang w:val="en-GB"/>
        </w:rPr>
        <w:lastRenderedPageBreak/>
        <w:t>Supplementary methods</w:t>
      </w:r>
      <w:bookmarkEnd w:id="6"/>
    </w:p>
    <w:p w14:paraId="13310C47" w14:textId="77777777" w:rsidR="00492ACD" w:rsidRPr="001823ED" w:rsidRDefault="00492ACD" w:rsidP="009D21B5">
      <w:pPr>
        <w:widowControl w:val="0"/>
      </w:pPr>
    </w:p>
    <w:p w14:paraId="55DA42FD" w14:textId="48029637" w:rsidR="004C305D" w:rsidRPr="001823ED" w:rsidRDefault="004C305D" w:rsidP="009D21B5">
      <w:pPr>
        <w:widowControl w:val="0"/>
      </w:pPr>
      <w:r w:rsidRPr="001823ED">
        <w:t xml:space="preserve">We conducted an observational study to assess the </w:t>
      </w:r>
      <w:r w:rsidR="0033741D" w:rsidRPr="001823ED">
        <w:t xml:space="preserve">association </w:t>
      </w:r>
      <w:r w:rsidRPr="001823ED">
        <w:t xml:space="preserve">between the vaginal microbiota </w:t>
      </w:r>
      <w:r w:rsidR="0033741D" w:rsidRPr="001823ED">
        <w:t xml:space="preserve">(VMB) </w:t>
      </w:r>
      <w:r w:rsidRPr="001823ED">
        <w:t>and recurrent early preterm</w:t>
      </w:r>
      <w:r w:rsidR="00C24452" w:rsidRPr="001823ED">
        <w:t xml:space="preserve"> birth. This was a sub-study within the “D</w:t>
      </w:r>
      <w:r w:rsidRPr="001823ED">
        <w:t xml:space="preserve">evelopment of novel biomarkers for prediction of preterm labour in a high-risk population” study. </w:t>
      </w:r>
      <w:r w:rsidR="0033741D" w:rsidRPr="001823ED">
        <w:t xml:space="preserve">The study was funded </w:t>
      </w:r>
      <w:r w:rsidR="00C24452" w:rsidRPr="001823ED">
        <w:t xml:space="preserve">by </w:t>
      </w:r>
      <w:r w:rsidR="0033741D" w:rsidRPr="001823ED">
        <w:t xml:space="preserve">a charitable donation from Lord and Lady Harris, gained in an open competition that was facilitated by the charity Wellbeing of Women. </w:t>
      </w:r>
      <w:r w:rsidRPr="001823ED">
        <w:t xml:space="preserve">The study was approved by </w:t>
      </w:r>
      <w:r w:rsidR="00C24452" w:rsidRPr="001823ED">
        <w:t xml:space="preserve">the </w:t>
      </w:r>
      <w:r w:rsidRPr="001823ED">
        <w:t>North West Research Ethics Committee - Liverpool Ce</w:t>
      </w:r>
      <w:r w:rsidR="0033741D" w:rsidRPr="001823ED">
        <w:t>ntral, reference 11/NW/0720</w:t>
      </w:r>
      <w:r w:rsidR="00C24452" w:rsidRPr="001823ED">
        <w:t>,</w:t>
      </w:r>
      <w:r w:rsidR="0033741D" w:rsidRPr="001823ED">
        <w:t xml:space="preserve"> on 4 </w:t>
      </w:r>
      <w:r w:rsidR="00C24452" w:rsidRPr="001823ED">
        <w:t xml:space="preserve">November 2011. Recruitment started </w:t>
      </w:r>
      <w:r w:rsidRPr="001823ED">
        <w:t xml:space="preserve">on 1 April 2012. The </w:t>
      </w:r>
      <w:r w:rsidR="0033741D" w:rsidRPr="001823ED">
        <w:t xml:space="preserve">VMB </w:t>
      </w:r>
      <w:r w:rsidR="00C24452" w:rsidRPr="001823ED">
        <w:t>sub-study</w:t>
      </w:r>
      <w:r w:rsidR="0033741D" w:rsidRPr="001823ED">
        <w:t xml:space="preserve"> was added on 19</w:t>
      </w:r>
      <w:r w:rsidRPr="001823ED">
        <w:t xml:space="preserve"> October 2015 </w:t>
      </w:r>
      <w:r w:rsidR="0033741D" w:rsidRPr="001823ED">
        <w:t xml:space="preserve">via protocol amendment. </w:t>
      </w:r>
      <w:r w:rsidRPr="001823ED">
        <w:t xml:space="preserve">Recruitment was completed on 31 December 2017. All participants </w:t>
      </w:r>
      <w:r w:rsidR="0033741D" w:rsidRPr="001823ED">
        <w:t xml:space="preserve">gave written informed consent. </w:t>
      </w:r>
    </w:p>
    <w:p w14:paraId="4A8C6B9F" w14:textId="77777777" w:rsidR="00411C71" w:rsidRPr="001823ED" w:rsidRDefault="00411C71" w:rsidP="009D21B5">
      <w:pPr>
        <w:widowControl w:val="0"/>
      </w:pPr>
    </w:p>
    <w:p w14:paraId="71E23BED" w14:textId="010AE658" w:rsidR="00411C71" w:rsidRPr="001823ED" w:rsidRDefault="0086640C" w:rsidP="009D21B5">
      <w:pPr>
        <w:pStyle w:val="Heading2"/>
        <w:keepNext w:val="0"/>
        <w:keepLines w:val="0"/>
        <w:widowControl w:val="0"/>
      </w:pPr>
      <w:bookmarkStart w:id="7" w:name="_Toc69722980"/>
      <w:r w:rsidRPr="001823ED">
        <w:t>E</w:t>
      </w:r>
      <w:r w:rsidR="00492ACD" w:rsidRPr="001823ED">
        <w:t>ligibility</w:t>
      </w:r>
      <w:r w:rsidRPr="001823ED">
        <w:t xml:space="preserve"> criteria</w:t>
      </w:r>
      <w:bookmarkEnd w:id="7"/>
    </w:p>
    <w:p w14:paraId="2FC8EA52" w14:textId="6C7683E8" w:rsidR="0033741D" w:rsidRPr="001823ED" w:rsidRDefault="0033741D" w:rsidP="009D21B5">
      <w:pPr>
        <w:widowControl w:val="0"/>
      </w:pPr>
      <w:r w:rsidRPr="001823ED">
        <w:t xml:space="preserve">We recruited two cohorts of pregnant women: a high-risk cohort and a low-risk cohort. </w:t>
      </w:r>
    </w:p>
    <w:p w14:paraId="771D770D" w14:textId="77777777" w:rsidR="0033741D" w:rsidRPr="001823ED" w:rsidRDefault="0033741D" w:rsidP="009D21B5">
      <w:pPr>
        <w:widowControl w:val="0"/>
      </w:pPr>
    </w:p>
    <w:p w14:paraId="6D0F53FE" w14:textId="6D825BDE" w:rsidR="008B06BA" w:rsidRPr="001823ED" w:rsidRDefault="0033741D" w:rsidP="009D21B5">
      <w:pPr>
        <w:widowControl w:val="0"/>
      </w:pPr>
      <w:r w:rsidRPr="001823ED">
        <w:t xml:space="preserve">The </w:t>
      </w:r>
      <w:r w:rsidR="0086640C" w:rsidRPr="001823ED">
        <w:t xml:space="preserve">eligibility </w:t>
      </w:r>
      <w:r w:rsidR="008B06BA" w:rsidRPr="001823ED">
        <w:t xml:space="preserve">criteria for both </w:t>
      </w:r>
      <w:r w:rsidRPr="001823ED">
        <w:t xml:space="preserve">cohorts </w:t>
      </w:r>
      <w:r w:rsidR="008B06BA" w:rsidRPr="001823ED">
        <w:t>were:</w:t>
      </w:r>
    </w:p>
    <w:p w14:paraId="1D4A947D" w14:textId="4A48BC61" w:rsidR="008B06BA" w:rsidRPr="001823ED" w:rsidRDefault="008B06BA" w:rsidP="009D21B5">
      <w:pPr>
        <w:pStyle w:val="ListParagraph"/>
        <w:widowControl w:val="0"/>
        <w:numPr>
          <w:ilvl w:val="0"/>
          <w:numId w:val="24"/>
        </w:numPr>
        <w:spacing w:line="240" w:lineRule="auto"/>
        <w:ind w:left="426" w:hanging="426"/>
        <w:rPr>
          <w:rFonts w:asciiTheme="minorHAnsi" w:hAnsiTheme="minorHAnsi"/>
          <w:lang w:val="en-GB"/>
        </w:rPr>
      </w:pPr>
      <w:r w:rsidRPr="001823ED">
        <w:rPr>
          <w:rFonts w:asciiTheme="minorHAnsi" w:hAnsiTheme="minorHAnsi"/>
          <w:lang w:val="en-GB"/>
        </w:rPr>
        <w:t>Singleton pregnancy</w:t>
      </w:r>
      <w:r w:rsidR="0086640C" w:rsidRPr="001823ED">
        <w:rPr>
          <w:rFonts w:asciiTheme="minorHAnsi" w:hAnsiTheme="minorHAnsi"/>
          <w:lang w:val="en-GB"/>
        </w:rPr>
        <w:t>.</w:t>
      </w:r>
    </w:p>
    <w:p w14:paraId="5ED31164" w14:textId="2BD3901C" w:rsidR="008B06BA" w:rsidRPr="001823ED" w:rsidRDefault="008B06BA" w:rsidP="009D21B5">
      <w:pPr>
        <w:pStyle w:val="ListParagraph"/>
        <w:widowControl w:val="0"/>
        <w:numPr>
          <w:ilvl w:val="0"/>
          <w:numId w:val="24"/>
        </w:numPr>
        <w:spacing w:line="240" w:lineRule="auto"/>
        <w:ind w:left="426" w:hanging="426"/>
        <w:rPr>
          <w:rFonts w:asciiTheme="minorHAnsi" w:hAnsiTheme="minorHAnsi"/>
          <w:lang w:val="en-GB"/>
        </w:rPr>
      </w:pPr>
      <w:r w:rsidRPr="001823ED">
        <w:rPr>
          <w:rFonts w:asciiTheme="minorHAnsi" w:hAnsiTheme="minorHAnsi"/>
          <w:lang w:val="en-GB"/>
        </w:rPr>
        <w:t xml:space="preserve">Having had </w:t>
      </w:r>
      <w:r w:rsidR="0086640C" w:rsidRPr="001823ED">
        <w:rPr>
          <w:rFonts w:asciiTheme="minorHAnsi" w:hAnsiTheme="minorHAnsi"/>
          <w:lang w:val="en-GB"/>
        </w:rPr>
        <w:t>a</w:t>
      </w:r>
      <w:r w:rsidR="00047FCF" w:rsidRPr="001823ED">
        <w:rPr>
          <w:rFonts w:asciiTheme="minorHAnsi" w:hAnsiTheme="minorHAnsi"/>
          <w:lang w:val="en-GB"/>
        </w:rPr>
        <w:t>n early</w:t>
      </w:r>
      <w:r w:rsidR="0086640C" w:rsidRPr="001823ED">
        <w:rPr>
          <w:rFonts w:asciiTheme="minorHAnsi" w:hAnsiTheme="minorHAnsi"/>
          <w:lang w:val="en-GB"/>
        </w:rPr>
        <w:t xml:space="preserve"> </w:t>
      </w:r>
      <w:r w:rsidRPr="001823ED">
        <w:rPr>
          <w:rFonts w:asciiTheme="minorHAnsi" w:hAnsiTheme="minorHAnsi"/>
          <w:lang w:val="en-GB"/>
        </w:rPr>
        <w:t>pregnancy ‘dating’ scan</w:t>
      </w:r>
      <w:r w:rsidR="00B47ADE" w:rsidRPr="001823ED">
        <w:rPr>
          <w:rFonts w:asciiTheme="minorHAnsi" w:hAnsiTheme="minorHAnsi"/>
          <w:lang w:val="en-GB"/>
        </w:rPr>
        <w:fldChar w:fldCharType="begin" w:fldLock="1"/>
      </w:r>
      <w:r w:rsidR="00485E28" w:rsidRPr="001823ED">
        <w:rPr>
          <w:rFonts w:asciiTheme="minorHAnsi" w:hAnsiTheme="minorHAnsi"/>
          <w:lang w:val="en-GB"/>
        </w:rPr>
        <w:instrText>ADDIN CSL_CITATION {"citationItems":[{"id":"ITEM-1","itemData":{"DOI":"10.1017/CBO9781107415324.004","ISBN":"9788578110796","ISSN":"1098-6596","PMID":"25246403","abstract":"The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Antenatal care for uncomplicated pregnancies (CG62)","author":[{"dropping-particle":"","family":"National Institute for Health and Care Excellence","given":"","non-dropping-particle":"","parse-names":false,"suffix":""}],"container-title":"Clinical Guideline","id":"ITEM-1","issue":"March","issued":{"date-parts":[["2008"]]},"page":"1 - 55","title":"Antenatal care for uncomplicated pregnancies","type":"article-journal"},"uris":["http://www.mendeley.com/documents/?uuid=45ac3b34-603c-44ee-a443-6e514a5f15f4"]}],"mendeley":{"formattedCitation":"&lt;sup&gt;1&lt;/sup&gt;","plainTextFormattedCitation":"1","previouslyFormattedCitation":"&lt;sup&gt;1&lt;/sup&gt;"},"properties":{"noteIndex":0},"schema":"https://github.com/citation-style-language/schema/raw/master/csl-citation.json"}</w:instrText>
      </w:r>
      <w:r w:rsidR="00B47ADE" w:rsidRPr="001823ED">
        <w:rPr>
          <w:rFonts w:asciiTheme="minorHAnsi" w:hAnsiTheme="minorHAnsi"/>
          <w:lang w:val="en-GB"/>
        </w:rPr>
        <w:fldChar w:fldCharType="separate"/>
      </w:r>
      <w:r w:rsidR="00403031" w:rsidRPr="001823ED">
        <w:rPr>
          <w:rFonts w:asciiTheme="minorHAnsi" w:hAnsiTheme="minorHAnsi"/>
          <w:noProof/>
          <w:vertAlign w:val="superscript"/>
          <w:lang w:val="en-GB"/>
        </w:rPr>
        <w:t>1</w:t>
      </w:r>
      <w:r w:rsidR="00B47ADE" w:rsidRPr="001823ED">
        <w:rPr>
          <w:rFonts w:asciiTheme="minorHAnsi" w:hAnsiTheme="minorHAnsi"/>
          <w:lang w:val="en-GB"/>
        </w:rPr>
        <w:fldChar w:fldCharType="end"/>
      </w:r>
      <w:r w:rsidRPr="001823ED">
        <w:rPr>
          <w:rFonts w:asciiTheme="minorHAnsi" w:hAnsiTheme="minorHAnsi"/>
          <w:lang w:val="en-GB"/>
        </w:rPr>
        <w:t xml:space="preserve"> before 14</w:t>
      </w:r>
      <w:r w:rsidRPr="001823ED">
        <w:rPr>
          <w:rFonts w:asciiTheme="minorHAnsi" w:hAnsiTheme="minorHAnsi"/>
          <w:vertAlign w:val="superscript"/>
          <w:lang w:val="en-GB"/>
        </w:rPr>
        <w:t>+0</w:t>
      </w:r>
      <w:r w:rsidRPr="001823ED">
        <w:rPr>
          <w:rFonts w:asciiTheme="minorHAnsi" w:hAnsiTheme="minorHAnsi"/>
          <w:lang w:val="en-GB"/>
        </w:rPr>
        <w:t xml:space="preserve"> weeks gestation showing no </w:t>
      </w:r>
      <w:r w:rsidR="00C077B8" w:rsidRPr="001823ED">
        <w:rPr>
          <w:rFonts w:asciiTheme="minorHAnsi" w:hAnsiTheme="minorHAnsi"/>
          <w:lang w:val="en-GB"/>
        </w:rPr>
        <w:t>foetal</w:t>
      </w:r>
      <w:r w:rsidRPr="001823ED">
        <w:rPr>
          <w:rFonts w:asciiTheme="minorHAnsi" w:hAnsiTheme="minorHAnsi"/>
          <w:lang w:val="en-GB"/>
        </w:rPr>
        <w:t xml:space="preserve"> abnormalities</w:t>
      </w:r>
      <w:r w:rsidR="0086640C" w:rsidRPr="001823ED">
        <w:rPr>
          <w:rFonts w:asciiTheme="minorHAnsi" w:hAnsiTheme="minorHAnsi"/>
          <w:lang w:val="en-GB"/>
        </w:rPr>
        <w:t>. This scan was used to calculate gestational age at sampling and birth.</w:t>
      </w:r>
    </w:p>
    <w:p w14:paraId="7C2E95F7" w14:textId="7581472B" w:rsidR="008B06BA" w:rsidRPr="001823ED" w:rsidRDefault="008B06BA" w:rsidP="009D21B5">
      <w:pPr>
        <w:pStyle w:val="ListParagraph"/>
        <w:widowControl w:val="0"/>
        <w:numPr>
          <w:ilvl w:val="0"/>
          <w:numId w:val="24"/>
        </w:numPr>
        <w:spacing w:line="240" w:lineRule="auto"/>
        <w:ind w:left="426" w:hanging="426"/>
        <w:rPr>
          <w:rFonts w:asciiTheme="minorHAnsi" w:hAnsiTheme="minorHAnsi"/>
          <w:lang w:val="en-GB"/>
        </w:rPr>
      </w:pPr>
      <w:r w:rsidRPr="001823ED">
        <w:rPr>
          <w:rFonts w:asciiTheme="minorHAnsi" w:hAnsiTheme="minorHAnsi"/>
          <w:lang w:val="en-GB"/>
        </w:rPr>
        <w:t>Between 15</w:t>
      </w:r>
      <w:r w:rsidRPr="001823ED">
        <w:rPr>
          <w:rFonts w:asciiTheme="minorHAnsi" w:hAnsiTheme="minorHAnsi"/>
          <w:vertAlign w:val="superscript"/>
          <w:lang w:val="en-GB"/>
        </w:rPr>
        <w:t>+1</w:t>
      </w:r>
      <w:r w:rsidRPr="001823ED">
        <w:rPr>
          <w:rFonts w:asciiTheme="minorHAnsi" w:hAnsiTheme="minorHAnsi"/>
          <w:lang w:val="en-GB"/>
        </w:rPr>
        <w:t xml:space="preserve"> and 23</w:t>
      </w:r>
      <w:r w:rsidRPr="001823ED">
        <w:rPr>
          <w:rFonts w:asciiTheme="minorHAnsi" w:hAnsiTheme="minorHAnsi"/>
          <w:vertAlign w:val="superscript"/>
          <w:lang w:val="en-GB"/>
        </w:rPr>
        <w:t>+0</w:t>
      </w:r>
      <w:r w:rsidRPr="001823ED">
        <w:rPr>
          <w:rFonts w:asciiTheme="minorHAnsi" w:hAnsiTheme="minorHAnsi"/>
          <w:lang w:val="en-GB"/>
        </w:rPr>
        <w:t xml:space="preserve"> weeks gestation at recruitment</w:t>
      </w:r>
      <w:r w:rsidR="0086640C" w:rsidRPr="001823ED">
        <w:rPr>
          <w:rFonts w:asciiTheme="minorHAnsi" w:hAnsiTheme="minorHAnsi"/>
          <w:lang w:val="en-GB"/>
        </w:rPr>
        <w:t>.</w:t>
      </w:r>
    </w:p>
    <w:p w14:paraId="7EAC1123" w14:textId="5A81AC72" w:rsidR="0086640C" w:rsidRPr="001823ED" w:rsidRDefault="0033741D" w:rsidP="009D21B5">
      <w:pPr>
        <w:pStyle w:val="ListParagraph"/>
        <w:widowControl w:val="0"/>
        <w:numPr>
          <w:ilvl w:val="0"/>
          <w:numId w:val="24"/>
        </w:numPr>
        <w:spacing w:line="240" w:lineRule="auto"/>
        <w:ind w:left="426" w:hanging="426"/>
        <w:rPr>
          <w:rFonts w:asciiTheme="minorHAnsi" w:hAnsiTheme="minorHAnsi"/>
          <w:lang w:val="en-GB"/>
        </w:rPr>
      </w:pPr>
      <w:r w:rsidRPr="001823ED">
        <w:rPr>
          <w:rFonts w:asciiTheme="minorHAnsi" w:hAnsiTheme="minorHAnsi"/>
          <w:lang w:val="en-GB"/>
        </w:rPr>
        <w:t xml:space="preserve">Having taken part in standard antenatal care, including </w:t>
      </w:r>
      <w:r w:rsidR="008B06BA" w:rsidRPr="001823ED">
        <w:rPr>
          <w:rFonts w:asciiTheme="minorHAnsi" w:hAnsiTheme="minorHAnsi"/>
          <w:lang w:val="en-GB"/>
        </w:rPr>
        <w:t xml:space="preserve">HIV </w:t>
      </w:r>
      <w:r w:rsidRPr="001823ED">
        <w:rPr>
          <w:rFonts w:asciiTheme="minorHAnsi" w:hAnsiTheme="minorHAnsi"/>
          <w:lang w:val="en-GB"/>
        </w:rPr>
        <w:t>and hepatitis B testing at the</w:t>
      </w:r>
      <w:r w:rsidR="00C24452" w:rsidRPr="001823ED">
        <w:rPr>
          <w:rFonts w:asciiTheme="minorHAnsi" w:hAnsiTheme="minorHAnsi"/>
          <w:lang w:val="en-GB"/>
        </w:rPr>
        <w:t xml:space="preserve"> booking</w:t>
      </w:r>
      <w:r w:rsidR="008B06BA" w:rsidRPr="001823ED">
        <w:rPr>
          <w:rFonts w:asciiTheme="minorHAnsi" w:hAnsiTheme="minorHAnsi"/>
          <w:lang w:val="en-GB"/>
        </w:rPr>
        <w:t xml:space="preserve"> appointment </w:t>
      </w:r>
      <w:r w:rsidR="00C24452" w:rsidRPr="001823ED">
        <w:rPr>
          <w:rFonts w:asciiTheme="minorHAnsi" w:hAnsiTheme="minorHAnsi"/>
          <w:lang w:val="en-GB"/>
        </w:rPr>
        <w:t xml:space="preserve">(first appointment </w:t>
      </w:r>
      <w:r w:rsidR="008B06BA" w:rsidRPr="001823ED">
        <w:rPr>
          <w:rFonts w:asciiTheme="minorHAnsi" w:hAnsiTheme="minorHAnsi"/>
          <w:lang w:val="en-GB"/>
        </w:rPr>
        <w:t>with a midwife</w:t>
      </w:r>
      <w:r w:rsidR="00C24452" w:rsidRPr="001823ED">
        <w:rPr>
          <w:rFonts w:asciiTheme="minorHAnsi" w:hAnsiTheme="minorHAnsi"/>
          <w:lang w:val="en-GB"/>
        </w:rPr>
        <w:t>)</w:t>
      </w:r>
      <w:r w:rsidR="006C2CDC" w:rsidRPr="001823ED">
        <w:rPr>
          <w:rFonts w:asciiTheme="minorHAnsi" w:hAnsiTheme="minorHAnsi"/>
          <w:lang w:val="en-GB"/>
        </w:rPr>
        <w:t>.</w:t>
      </w:r>
      <w:r w:rsidR="008B06BA" w:rsidRPr="001823ED">
        <w:rPr>
          <w:rFonts w:asciiTheme="minorHAnsi" w:hAnsiTheme="minorHAnsi"/>
          <w:lang w:val="en-GB"/>
        </w:rPr>
        <w:fldChar w:fldCharType="begin" w:fldLock="1"/>
      </w:r>
      <w:r w:rsidR="00485E28" w:rsidRPr="001823ED">
        <w:rPr>
          <w:rFonts w:asciiTheme="minorHAnsi" w:hAnsiTheme="minorHAnsi"/>
          <w:lang w:val="en-GB"/>
        </w:rPr>
        <w:instrText>ADDIN CSL_CITATION {"citationItems":[{"id":"ITEM-1","itemData":{"DOI":"10.1017/CBO9781107415324.004","ISBN":"9788578110796","ISSN":"1098-6596","PMID":"25246403","abstract":"The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Antenatal care for uncomplicated pregnancies (CG62)","author":[{"dropping-particle":"","family":"National Institute for Health and Care Excellence","given":"","non-dropping-particle":"","parse-names":false,"suffix":""}],"container-title":"Clinical Guideline","id":"ITEM-1","issue":"March","issued":{"date-parts":[["2008"]]},"page":"1 - 55","title":"Antenatal care for uncomplicated pregnancies","type":"article-journal"},"uris":["http://www.mendeley.com/documents/?uuid=45ac3b34-603c-44ee-a443-6e514a5f15f4"]}],"mendeley":{"formattedCitation":"&lt;sup&gt;1&lt;/sup&gt;","plainTextFormattedCitation":"1","previouslyFormattedCitation":"&lt;sup&gt;1&lt;/sup&gt;"},"properties":{"noteIndex":0},"schema":"https://github.com/citation-style-language/schema/raw/master/csl-citation.json"}</w:instrText>
      </w:r>
      <w:r w:rsidR="008B06BA" w:rsidRPr="001823ED">
        <w:rPr>
          <w:rFonts w:asciiTheme="minorHAnsi" w:hAnsiTheme="minorHAnsi"/>
          <w:lang w:val="en-GB"/>
        </w:rPr>
        <w:fldChar w:fldCharType="separate"/>
      </w:r>
      <w:r w:rsidR="00403031" w:rsidRPr="001823ED">
        <w:rPr>
          <w:rFonts w:asciiTheme="minorHAnsi" w:hAnsiTheme="minorHAnsi"/>
          <w:noProof/>
          <w:vertAlign w:val="superscript"/>
          <w:lang w:val="en-GB"/>
        </w:rPr>
        <w:t>1</w:t>
      </w:r>
      <w:r w:rsidR="008B06BA" w:rsidRPr="001823ED">
        <w:rPr>
          <w:rFonts w:asciiTheme="minorHAnsi" w:hAnsiTheme="minorHAnsi"/>
          <w:lang w:val="en-GB"/>
        </w:rPr>
        <w:fldChar w:fldCharType="end"/>
      </w:r>
      <w:r w:rsidR="008B06BA" w:rsidRPr="001823ED">
        <w:rPr>
          <w:rFonts w:asciiTheme="minorHAnsi" w:hAnsiTheme="minorHAnsi"/>
          <w:lang w:val="en-GB"/>
        </w:rPr>
        <w:t xml:space="preserve"> </w:t>
      </w:r>
      <w:r w:rsidRPr="001823ED">
        <w:rPr>
          <w:rFonts w:asciiTheme="minorHAnsi" w:hAnsiTheme="minorHAnsi"/>
          <w:lang w:val="en-GB"/>
        </w:rPr>
        <w:t>T</w:t>
      </w:r>
      <w:r w:rsidR="002B24F1" w:rsidRPr="001823ED">
        <w:rPr>
          <w:rFonts w:asciiTheme="minorHAnsi" w:hAnsiTheme="minorHAnsi"/>
          <w:lang w:val="en-GB"/>
        </w:rPr>
        <w:t xml:space="preserve">he results </w:t>
      </w:r>
      <w:r w:rsidRPr="001823ED">
        <w:rPr>
          <w:rFonts w:asciiTheme="minorHAnsi" w:hAnsiTheme="minorHAnsi"/>
          <w:lang w:val="en-GB"/>
        </w:rPr>
        <w:t>of these tests had to be</w:t>
      </w:r>
      <w:r w:rsidR="002B24F1" w:rsidRPr="001823ED">
        <w:rPr>
          <w:rFonts w:asciiTheme="minorHAnsi" w:hAnsiTheme="minorHAnsi"/>
          <w:lang w:val="en-GB"/>
        </w:rPr>
        <w:t xml:space="preserve"> negative</w:t>
      </w:r>
      <w:r w:rsidR="0086640C" w:rsidRPr="001823ED">
        <w:rPr>
          <w:rFonts w:asciiTheme="minorHAnsi" w:hAnsiTheme="minorHAnsi"/>
          <w:lang w:val="en-GB"/>
        </w:rPr>
        <w:t xml:space="preserve"> for blood handling safety reasons</w:t>
      </w:r>
      <w:r w:rsidR="002B24F1" w:rsidRPr="001823ED">
        <w:rPr>
          <w:rFonts w:asciiTheme="minorHAnsi" w:hAnsiTheme="minorHAnsi"/>
          <w:lang w:val="en-GB"/>
        </w:rPr>
        <w:t xml:space="preserve">. </w:t>
      </w:r>
      <w:r w:rsidR="0086640C" w:rsidRPr="001823ED">
        <w:rPr>
          <w:lang w:val="en-GB"/>
        </w:rPr>
        <w:t>The uptake of HIV testing in UK antenatal services in 2015 was 98.2%, with only 0.15% of women testing positive,</w:t>
      </w:r>
      <w:r w:rsidR="0086640C" w:rsidRPr="001823ED">
        <w:rPr>
          <w:lang w:val="en-GB"/>
        </w:rPr>
        <w:fldChar w:fldCharType="begin" w:fldLock="1"/>
      </w:r>
      <w:r w:rsidR="0086640C" w:rsidRPr="001823ED">
        <w:rPr>
          <w:lang w:val="en-GB"/>
        </w:rPr>
        <w:instrText>ADDIN CSL_CITATION {"citationItems":[{"id":"ITEM-1","itemData":{"author":[{"dropping-particle":"","family":"Public Health England (PHE).","given":"","non-dropping-particle":"","parse-names":false,"suffix":""}],"id":"ITEM-1","issued":{"date-parts":[["2018"]]},"page":"57","title":"HIV Testing in England: 2017 Report","type":"article-journal"},"uris":["http://www.mendeley.com/documents/?uuid=4302a4ff-95c5-4ba6-b326-f5205609ba23"]}],"mendeley":{"formattedCitation":"&lt;sup&gt;2&lt;/sup&gt;","plainTextFormattedCitation":"2","previouslyFormattedCitation":"&lt;sup&gt;2&lt;/sup&gt;"},"properties":{"noteIndex":0},"schema":"https://github.com/citation-style-language/schema/raw/master/csl-citation.json"}</w:instrText>
      </w:r>
      <w:r w:rsidR="0086640C" w:rsidRPr="001823ED">
        <w:rPr>
          <w:lang w:val="en-GB"/>
        </w:rPr>
        <w:fldChar w:fldCharType="separate"/>
      </w:r>
      <w:r w:rsidR="0086640C" w:rsidRPr="001823ED">
        <w:rPr>
          <w:noProof/>
          <w:vertAlign w:val="superscript"/>
          <w:lang w:val="en-GB"/>
        </w:rPr>
        <w:t>2</w:t>
      </w:r>
      <w:r w:rsidR="0086640C" w:rsidRPr="001823ED">
        <w:rPr>
          <w:lang w:val="en-GB"/>
        </w:rPr>
        <w:fldChar w:fldCharType="end"/>
      </w:r>
      <w:r w:rsidR="0086640C" w:rsidRPr="001823ED">
        <w:rPr>
          <w:lang w:val="en-GB"/>
        </w:rPr>
        <w:t xml:space="preserve"> so this is unlikely to have had a substantial impact upon recruitment.</w:t>
      </w:r>
    </w:p>
    <w:p w14:paraId="7F5D3614" w14:textId="4C83197F" w:rsidR="0086640C" w:rsidRPr="001823ED" w:rsidRDefault="001F5BA1" w:rsidP="009D21B5">
      <w:pPr>
        <w:pStyle w:val="ListParagraph"/>
        <w:widowControl w:val="0"/>
        <w:numPr>
          <w:ilvl w:val="0"/>
          <w:numId w:val="24"/>
        </w:numPr>
        <w:spacing w:line="240" w:lineRule="auto"/>
        <w:ind w:left="426" w:hanging="426"/>
        <w:rPr>
          <w:rFonts w:asciiTheme="minorHAnsi" w:hAnsiTheme="minorHAnsi"/>
          <w:lang w:val="en-GB"/>
        </w:rPr>
      </w:pPr>
      <w:r>
        <w:rPr>
          <w:rFonts w:asciiTheme="minorHAnsi" w:hAnsiTheme="minorHAnsi"/>
          <w:lang w:val="en-GB"/>
        </w:rPr>
        <w:t xml:space="preserve">Not having had vaginal </w:t>
      </w:r>
      <w:r w:rsidR="0086640C" w:rsidRPr="001823ED">
        <w:rPr>
          <w:rFonts w:asciiTheme="minorHAnsi" w:hAnsiTheme="minorHAnsi"/>
          <w:lang w:val="en-GB"/>
        </w:rPr>
        <w:t xml:space="preserve">sex within 48 hours prior to the first study visit. </w:t>
      </w:r>
      <w:r w:rsidR="0086640C" w:rsidRPr="001823ED">
        <w:rPr>
          <w:lang w:val="en-GB"/>
        </w:rPr>
        <w:t>All women who had a second study visit were asked to abstain from sex for 48 hours prior to the study visit.</w:t>
      </w:r>
      <w:r w:rsidR="0086640C" w:rsidRPr="001823ED">
        <w:rPr>
          <w:rFonts w:asciiTheme="minorHAnsi" w:hAnsiTheme="minorHAnsi"/>
          <w:lang w:val="en-GB"/>
        </w:rPr>
        <w:t xml:space="preserve"> </w:t>
      </w:r>
    </w:p>
    <w:p w14:paraId="05A8143C" w14:textId="1CA0872B" w:rsidR="008B06BA" w:rsidRPr="001823ED" w:rsidRDefault="004C305D" w:rsidP="009D21B5">
      <w:pPr>
        <w:pStyle w:val="ListParagraph"/>
        <w:widowControl w:val="0"/>
        <w:numPr>
          <w:ilvl w:val="0"/>
          <w:numId w:val="24"/>
        </w:numPr>
        <w:spacing w:line="240" w:lineRule="auto"/>
        <w:ind w:left="426" w:hanging="426"/>
        <w:rPr>
          <w:rFonts w:asciiTheme="minorHAnsi" w:hAnsiTheme="minorHAnsi"/>
          <w:lang w:val="en-GB"/>
        </w:rPr>
      </w:pPr>
      <w:r w:rsidRPr="001823ED">
        <w:rPr>
          <w:rFonts w:asciiTheme="minorHAnsi" w:hAnsiTheme="minorHAnsi"/>
          <w:lang w:val="en-GB"/>
        </w:rPr>
        <w:t xml:space="preserve">Participants were only eligible for study participation once and could not be recruited a second time during a subsequent pregnancy. </w:t>
      </w:r>
    </w:p>
    <w:p w14:paraId="0E262B17" w14:textId="77777777" w:rsidR="00CB5D98" w:rsidRPr="001823ED" w:rsidRDefault="00CB5D98" w:rsidP="009D21B5">
      <w:pPr>
        <w:pStyle w:val="ListParagraph"/>
        <w:widowControl w:val="0"/>
        <w:spacing w:line="240" w:lineRule="auto"/>
        <w:rPr>
          <w:rFonts w:asciiTheme="minorHAnsi" w:hAnsiTheme="minorHAnsi"/>
          <w:lang w:val="en-GB"/>
        </w:rPr>
      </w:pPr>
    </w:p>
    <w:p w14:paraId="14DF4315" w14:textId="5D6E4128" w:rsidR="009C6221" w:rsidRPr="001823ED" w:rsidRDefault="0086640C" w:rsidP="009D21B5">
      <w:pPr>
        <w:widowControl w:val="0"/>
      </w:pPr>
      <w:r w:rsidRPr="001823ED">
        <w:t>Additional eligibility criteria for the high-risk cohort were:</w:t>
      </w:r>
    </w:p>
    <w:p w14:paraId="190EA479" w14:textId="0B0A441D" w:rsidR="00CB5D98" w:rsidRPr="001823ED" w:rsidRDefault="00CB5D98" w:rsidP="009D21B5">
      <w:pPr>
        <w:pStyle w:val="ListParagraph"/>
        <w:widowControl w:val="0"/>
        <w:numPr>
          <w:ilvl w:val="0"/>
          <w:numId w:val="25"/>
        </w:numPr>
        <w:spacing w:line="240" w:lineRule="auto"/>
        <w:ind w:left="426" w:hanging="426"/>
        <w:rPr>
          <w:rFonts w:asciiTheme="minorHAnsi" w:hAnsiTheme="minorHAnsi"/>
          <w:lang w:val="en-GB"/>
        </w:rPr>
      </w:pPr>
      <w:r w:rsidRPr="001823ED">
        <w:rPr>
          <w:rFonts w:asciiTheme="minorHAnsi" w:hAnsiTheme="minorHAnsi"/>
          <w:lang w:val="en-GB"/>
        </w:rPr>
        <w:t>Having ha</w:t>
      </w:r>
      <w:r w:rsidR="0086640C" w:rsidRPr="001823ED">
        <w:rPr>
          <w:rFonts w:asciiTheme="minorHAnsi" w:hAnsiTheme="minorHAnsi"/>
          <w:lang w:val="en-GB"/>
        </w:rPr>
        <w:t xml:space="preserve">d at least one previous </w:t>
      </w:r>
      <w:r w:rsidRPr="001823ED">
        <w:rPr>
          <w:rFonts w:asciiTheme="minorHAnsi" w:hAnsiTheme="minorHAnsi"/>
          <w:lang w:val="en-GB"/>
        </w:rPr>
        <w:t>spontaneous preterm birth (sPTB), preterm prelabour rupture of membranes (PPROM)</w:t>
      </w:r>
      <w:r w:rsidR="0086640C" w:rsidRPr="001823ED">
        <w:rPr>
          <w:rFonts w:asciiTheme="minorHAnsi" w:hAnsiTheme="minorHAnsi"/>
          <w:lang w:val="en-GB"/>
        </w:rPr>
        <w:t>,</w:t>
      </w:r>
      <w:r w:rsidRPr="001823ED">
        <w:rPr>
          <w:rFonts w:asciiTheme="minorHAnsi" w:hAnsiTheme="minorHAnsi"/>
          <w:lang w:val="en-GB"/>
        </w:rPr>
        <w:t xml:space="preserve"> or spontaneous late miscarriage at 16</w:t>
      </w:r>
      <w:r w:rsidRPr="001823ED">
        <w:rPr>
          <w:rFonts w:asciiTheme="minorHAnsi" w:hAnsiTheme="minorHAnsi"/>
          <w:vertAlign w:val="superscript"/>
          <w:lang w:val="en-GB"/>
        </w:rPr>
        <w:t>+0</w:t>
      </w:r>
      <w:r w:rsidRPr="001823ED">
        <w:rPr>
          <w:rFonts w:asciiTheme="minorHAnsi" w:hAnsiTheme="minorHAnsi"/>
          <w:lang w:val="en-GB"/>
        </w:rPr>
        <w:t>-33</w:t>
      </w:r>
      <w:r w:rsidRPr="001823ED">
        <w:rPr>
          <w:rFonts w:asciiTheme="minorHAnsi" w:hAnsiTheme="minorHAnsi"/>
          <w:vertAlign w:val="superscript"/>
          <w:lang w:val="en-GB"/>
        </w:rPr>
        <w:t>+6</w:t>
      </w:r>
      <w:r w:rsidRPr="001823ED">
        <w:rPr>
          <w:rFonts w:asciiTheme="minorHAnsi" w:hAnsiTheme="minorHAnsi"/>
          <w:lang w:val="en-GB"/>
        </w:rPr>
        <w:t xml:space="preserve"> weeks gestation</w:t>
      </w:r>
      <w:r w:rsidR="0086640C" w:rsidRPr="001823ED">
        <w:rPr>
          <w:rFonts w:asciiTheme="minorHAnsi" w:hAnsiTheme="minorHAnsi"/>
          <w:lang w:val="en-GB"/>
        </w:rPr>
        <w:t>.</w:t>
      </w:r>
      <w:r w:rsidRPr="001823ED">
        <w:rPr>
          <w:rFonts w:asciiTheme="minorHAnsi" w:hAnsiTheme="minorHAnsi"/>
          <w:lang w:val="en-GB"/>
        </w:rPr>
        <w:t xml:space="preserve"> </w:t>
      </w:r>
    </w:p>
    <w:p w14:paraId="5F764506" w14:textId="36B44289" w:rsidR="00CB5D98" w:rsidRPr="001823ED" w:rsidRDefault="00CB5D98" w:rsidP="009D21B5">
      <w:pPr>
        <w:pStyle w:val="ListParagraph"/>
        <w:widowControl w:val="0"/>
        <w:numPr>
          <w:ilvl w:val="0"/>
          <w:numId w:val="25"/>
        </w:numPr>
        <w:spacing w:line="240" w:lineRule="auto"/>
        <w:ind w:left="426" w:hanging="426"/>
        <w:rPr>
          <w:rFonts w:asciiTheme="minorHAnsi" w:hAnsiTheme="minorHAnsi"/>
          <w:lang w:val="en-GB"/>
        </w:rPr>
      </w:pPr>
      <w:r w:rsidRPr="001823ED">
        <w:rPr>
          <w:rFonts w:asciiTheme="minorHAnsi" w:hAnsiTheme="minorHAnsi"/>
          <w:lang w:val="en-GB"/>
        </w:rPr>
        <w:t>Not using preterm birth preventati</w:t>
      </w:r>
      <w:r w:rsidR="0086640C" w:rsidRPr="001823ED">
        <w:rPr>
          <w:rFonts w:asciiTheme="minorHAnsi" w:hAnsiTheme="minorHAnsi"/>
          <w:lang w:val="en-GB"/>
        </w:rPr>
        <w:t>ve treatment (cervical cerclage, vaginal progesterone, or a v</w:t>
      </w:r>
      <w:r w:rsidRPr="001823ED">
        <w:rPr>
          <w:rFonts w:asciiTheme="minorHAnsi" w:hAnsiTheme="minorHAnsi"/>
          <w:lang w:val="en-GB"/>
        </w:rPr>
        <w:t>aginal pessary) at the time of recruitment</w:t>
      </w:r>
      <w:r w:rsidR="0086640C" w:rsidRPr="001823ED">
        <w:rPr>
          <w:rFonts w:asciiTheme="minorHAnsi" w:hAnsiTheme="minorHAnsi"/>
          <w:lang w:val="en-GB"/>
        </w:rPr>
        <w:t>.</w:t>
      </w:r>
    </w:p>
    <w:p w14:paraId="6269C1F9" w14:textId="7CA67FAE" w:rsidR="0095362F" w:rsidRPr="001823ED" w:rsidRDefault="0086640C" w:rsidP="009D21B5">
      <w:pPr>
        <w:pStyle w:val="ListParagraph"/>
        <w:widowControl w:val="0"/>
        <w:numPr>
          <w:ilvl w:val="0"/>
          <w:numId w:val="25"/>
        </w:numPr>
        <w:spacing w:line="240" w:lineRule="auto"/>
        <w:ind w:left="426" w:hanging="426"/>
        <w:rPr>
          <w:rFonts w:asciiTheme="minorHAnsi" w:hAnsiTheme="minorHAnsi"/>
          <w:lang w:val="en-GB"/>
        </w:rPr>
      </w:pPr>
      <w:r w:rsidRPr="001823ED">
        <w:rPr>
          <w:lang w:val="en-GB"/>
        </w:rPr>
        <w:t>W</w:t>
      </w:r>
      <w:r w:rsidR="008C13B4" w:rsidRPr="001823ED">
        <w:rPr>
          <w:lang w:val="en-GB"/>
        </w:rPr>
        <w:t xml:space="preserve">omen </w:t>
      </w:r>
      <w:r w:rsidRPr="001823ED">
        <w:rPr>
          <w:lang w:val="en-GB"/>
        </w:rPr>
        <w:t xml:space="preserve">were </w:t>
      </w:r>
      <w:r w:rsidRPr="001823ED">
        <w:rPr>
          <w:u w:val="single"/>
          <w:lang w:val="en-GB"/>
        </w:rPr>
        <w:t>not</w:t>
      </w:r>
      <w:r w:rsidRPr="001823ED">
        <w:rPr>
          <w:lang w:val="en-GB"/>
        </w:rPr>
        <w:t xml:space="preserve"> excluded </w:t>
      </w:r>
      <w:r w:rsidR="008C13B4" w:rsidRPr="001823ED">
        <w:rPr>
          <w:lang w:val="en-GB"/>
        </w:rPr>
        <w:t xml:space="preserve">if they had </w:t>
      </w:r>
      <w:r w:rsidR="00E96CA7" w:rsidRPr="001823ED">
        <w:rPr>
          <w:lang w:val="en-GB"/>
        </w:rPr>
        <w:t>had</w:t>
      </w:r>
      <w:r w:rsidR="008C13B4" w:rsidRPr="001823ED">
        <w:rPr>
          <w:lang w:val="en-GB"/>
        </w:rPr>
        <w:t xml:space="preserve"> </w:t>
      </w:r>
      <w:r w:rsidR="003F7175" w:rsidRPr="001823ED">
        <w:rPr>
          <w:lang w:val="en-GB"/>
        </w:rPr>
        <w:t xml:space="preserve">significant cervical surgery </w:t>
      </w:r>
      <w:r w:rsidRPr="001823ED">
        <w:rPr>
          <w:lang w:val="en-GB"/>
        </w:rPr>
        <w:t xml:space="preserve">or </w:t>
      </w:r>
      <w:r w:rsidR="00E96CA7" w:rsidRPr="001823ED">
        <w:rPr>
          <w:lang w:val="en-GB"/>
        </w:rPr>
        <w:t>previous obstetric or medical problems.</w:t>
      </w:r>
    </w:p>
    <w:p w14:paraId="48A262CB" w14:textId="77777777" w:rsidR="0095362F" w:rsidRPr="001823ED" w:rsidRDefault="0095362F" w:rsidP="009D21B5">
      <w:pPr>
        <w:widowControl w:val="0"/>
      </w:pPr>
    </w:p>
    <w:p w14:paraId="39842B68" w14:textId="20D66D38" w:rsidR="004F6F8F" w:rsidRPr="001823ED" w:rsidRDefault="0086640C" w:rsidP="009D21B5">
      <w:pPr>
        <w:widowControl w:val="0"/>
      </w:pPr>
      <w:r w:rsidRPr="001823ED">
        <w:t>Additional eligibility criteria for the low-risk cohort were</w:t>
      </w:r>
      <w:r w:rsidR="004F6F8F" w:rsidRPr="001823ED">
        <w:t>:</w:t>
      </w:r>
    </w:p>
    <w:p w14:paraId="5D1C3873" w14:textId="50638593" w:rsidR="004F6F8F" w:rsidRPr="001823ED" w:rsidRDefault="0086640C"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Having had at least one</w:t>
      </w:r>
      <w:r w:rsidR="004F6F8F" w:rsidRPr="001823ED">
        <w:rPr>
          <w:rFonts w:asciiTheme="minorHAnsi" w:hAnsiTheme="minorHAnsi"/>
          <w:lang w:val="en-GB"/>
        </w:rPr>
        <w:t xml:space="preserve"> previous pregnancy that progressed beyond 37</w:t>
      </w:r>
      <w:r w:rsidR="004F6F8F" w:rsidRPr="001823ED">
        <w:rPr>
          <w:rFonts w:asciiTheme="minorHAnsi" w:hAnsiTheme="minorHAnsi"/>
          <w:vertAlign w:val="superscript"/>
          <w:lang w:val="en-GB"/>
        </w:rPr>
        <w:t>+0</w:t>
      </w:r>
      <w:r w:rsidR="004F6F8F" w:rsidRPr="001823ED">
        <w:rPr>
          <w:rFonts w:asciiTheme="minorHAnsi" w:hAnsiTheme="minorHAnsi"/>
          <w:lang w:val="en-GB"/>
        </w:rPr>
        <w:t xml:space="preserve"> weeks gestation</w:t>
      </w:r>
      <w:r w:rsidRPr="001823ED">
        <w:rPr>
          <w:rFonts w:asciiTheme="minorHAnsi" w:hAnsiTheme="minorHAnsi"/>
          <w:lang w:val="en-GB"/>
        </w:rPr>
        <w:t>.</w:t>
      </w:r>
    </w:p>
    <w:p w14:paraId="4E50ACD4" w14:textId="1F9E3EDF" w:rsidR="004F6F8F" w:rsidRPr="001823ED" w:rsidRDefault="004F6F8F"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 xml:space="preserve">No history of </w:t>
      </w:r>
      <w:r w:rsidR="008E7BE1" w:rsidRPr="001823ED">
        <w:rPr>
          <w:rFonts w:asciiTheme="minorHAnsi" w:hAnsiTheme="minorHAnsi"/>
          <w:lang w:val="en-GB"/>
        </w:rPr>
        <w:t>late miscarriage (beyond 16</w:t>
      </w:r>
      <w:r w:rsidR="008E7BE1" w:rsidRPr="001823ED">
        <w:rPr>
          <w:rFonts w:asciiTheme="minorHAnsi" w:hAnsiTheme="minorHAnsi"/>
          <w:vertAlign w:val="superscript"/>
          <w:lang w:val="en-GB"/>
        </w:rPr>
        <w:t>+0</w:t>
      </w:r>
      <w:r w:rsidR="008E7BE1" w:rsidRPr="001823ED">
        <w:rPr>
          <w:rFonts w:asciiTheme="minorHAnsi" w:hAnsiTheme="minorHAnsi"/>
          <w:lang w:val="en-GB"/>
        </w:rPr>
        <w:t xml:space="preserve"> weeks gestation)</w:t>
      </w:r>
      <w:r w:rsidR="0086640C" w:rsidRPr="001823ED">
        <w:rPr>
          <w:rFonts w:asciiTheme="minorHAnsi" w:hAnsiTheme="minorHAnsi"/>
          <w:lang w:val="en-GB"/>
        </w:rPr>
        <w:t>.</w:t>
      </w:r>
    </w:p>
    <w:p w14:paraId="0177845A" w14:textId="0A0CCE6E" w:rsidR="008E7BE1" w:rsidRPr="001823ED" w:rsidRDefault="008E7BE1"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No history of preterm birth (&lt;37</w:t>
      </w:r>
      <w:r w:rsidRPr="001823ED">
        <w:rPr>
          <w:rFonts w:asciiTheme="minorHAnsi" w:hAnsiTheme="minorHAnsi"/>
          <w:vertAlign w:val="superscript"/>
          <w:lang w:val="en-GB"/>
        </w:rPr>
        <w:t>+0</w:t>
      </w:r>
      <w:r w:rsidRPr="001823ED">
        <w:rPr>
          <w:rFonts w:asciiTheme="minorHAnsi" w:hAnsiTheme="minorHAnsi"/>
          <w:lang w:val="en-GB"/>
        </w:rPr>
        <w:t xml:space="preserve"> weeks gestation)</w:t>
      </w:r>
      <w:r w:rsidR="00361ED3" w:rsidRPr="001823ED">
        <w:rPr>
          <w:rFonts w:asciiTheme="minorHAnsi" w:hAnsiTheme="minorHAnsi"/>
          <w:lang w:val="en-GB"/>
        </w:rPr>
        <w:t>, including medically induced preterm birth</w:t>
      </w:r>
      <w:r w:rsidR="0086640C" w:rsidRPr="001823ED">
        <w:rPr>
          <w:rFonts w:asciiTheme="minorHAnsi" w:hAnsiTheme="minorHAnsi"/>
          <w:lang w:val="en-GB"/>
        </w:rPr>
        <w:t>.</w:t>
      </w:r>
    </w:p>
    <w:p w14:paraId="2E778CBC" w14:textId="77777777" w:rsidR="00C24452" w:rsidRPr="001823ED" w:rsidRDefault="008E7BE1"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No history of PPROM (&lt;37</w:t>
      </w:r>
      <w:r w:rsidRPr="001823ED">
        <w:rPr>
          <w:rFonts w:asciiTheme="minorHAnsi" w:hAnsiTheme="minorHAnsi"/>
          <w:vertAlign w:val="superscript"/>
          <w:lang w:val="en-GB"/>
        </w:rPr>
        <w:t>+0</w:t>
      </w:r>
      <w:r w:rsidRPr="001823ED">
        <w:rPr>
          <w:rFonts w:asciiTheme="minorHAnsi" w:hAnsiTheme="minorHAnsi"/>
          <w:lang w:val="en-GB"/>
        </w:rPr>
        <w:t xml:space="preserve"> weeks gestation)</w:t>
      </w:r>
      <w:r w:rsidR="0086640C" w:rsidRPr="001823ED">
        <w:rPr>
          <w:rFonts w:asciiTheme="minorHAnsi" w:hAnsiTheme="minorHAnsi"/>
          <w:lang w:val="en-GB"/>
        </w:rPr>
        <w:t>.</w:t>
      </w:r>
    </w:p>
    <w:p w14:paraId="06E5A28B" w14:textId="77777777" w:rsidR="00C24452" w:rsidRPr="001823ED" w:rsidRDefault="008E7BE1"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No history of significant cervical surgery</w:t>
      </w:r>
      <w:r w:rsidR="00C24452" w:rsidRPr="001823ED">
        <w:rPr>
          <w:rFonts w:asciiTheme="minorHAnsi" w:hAnsiTheme="minorHAnsi"/>
          <w:lang w:val="en-GB"/>
        </w:rPr>
        <w:t xml:space="preserve">, </w:t>
      </w:r>
      <w:r w:rsidR="00C24452" w:rsidRPr="001823ED">
        <w:rPr>
          <w:lang w:val="en-GB"/>
        </w:rPr>
        <w:t>defined as either: 1 large loop excision of the transformation zone (LLETZ) over 10mm; 2 or more LLETZ; or a knife cone biopsy.</w:t>
      </w:r>
    </w:p>
    <w:p w14:paraId="536F869B" w14:textId="7F7936CF" w:rsidR="00361ED3" w:rsidRPr="001823ED" w:rsidRDefault="00361ED3"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No medical condition considerably affecting health</w:t>
      </w:r>
      <w:r w:rsidR="00C24452" w:rsidRPr="001823ED">
        <w:rPr>
          <w:rFonts w:asciiTheme="minorHAnsi" w:hAnsiTheme="minorHAnsi"/>
          <w:lang w:val="en-GB"/>
        </w:rPr>
        <w:t xml:space="preserve">, defined as having been referred </w:t>
      </w:r>
      <w:r w:rsidR="00C24452" w:rsidRPr="001823ED">
        <w:rPr>
          <w:lang w:val="en-GB"/>
        </w:rPr>
        <w:t>to a specialist antenatal clinic for a medical condition by the booking midwife. This includes, but is not limited to, epilepsy, inflammatory bowel disease, or renal impairment.</w:t>
      </w:r>
    </w:p>
    <w:p w14:paraId="25430CC7" w14:textId="4BC1EEAA" w:rsidR="0086640C" w:rsidRPr="001823ED" w:rsidRDefault="00361ED3" w:rsidP="009D21B5">
      <w:pPr>
        <w:pStyle w:val="ListParagraph"/>
        <w:widowControl w:val="0"/>
        <w:numPr>
          <w:ilvl w:val="0"/>
          <w:numId w:val="26"/>
        </w:numPr>
        <w:spacing w:line="240" w:lineRule="auto"/>
        <w:ind w:left="426" w:hanging="426"/>
        <w:rPr>
          <w:rFonts w:asciiTheme="minorHAnsi" w:hAnsiTheme="minorHAnsi"/>
          <w:lang w:val="en-GB"/>
        </w:rPr>
      </w:pPr>
      <w:r w:rsidRPr="001823ED">
        <w:rPr>
          <w:rFonts w:asciiTheme="minorHAnsi" w:hAnsiTheme="minorHAnsi"/>
          <w:lang w:val="en-GB"/>
        </w:rPr>
        <w:t xml:space="preserve">No previous pregnancy affected by an obstetric complication with an </w:t>
      </w:r>
      <w:r w:rsidR="00C24452" w:rsidRPr="001823ED">
        <w:rPr>
          <w:rFonts w:asciiTheme="minorHAnsi" w:hAnsiTheme="minorHAnsi"/>
          <w:lang w:val="en-GB"/>
        </w:rPr>
        <w:t xml:space="preserve">increased chance of reoccurrence, defined as </w:t>
      </w:r>
      <w:r w:rsidR="00C24452" w:rsidRPr="001823ED">
        <w:rPr>
          <w:lang w:val="en-GB"/>
        </w:rPr>
        <w:t>previous gestational diabetes, preeclampsia requiring magnesium sulphate, or gestational hyperten</w:t>
      </w:r>
      <w:r w:rsidR="001F5BA1">
        <w:rPr>
          <w:lang w:val="en-GB"/>
        </w:rPr>
        <w:t>sion requiring antihypertensive medication</w:t>
      </w:r>
      <w:r w:rsidR="00C24452" w:rsidRPr="001823ED">
        <w:rPr>
          <w:lang w:val="en-GB"/>
        </w:rPr>
        <w:t>.</w:t>
      </w:r>
    </w:p>
    <w:p w14:paraId="4A5C52D2" w14:textId="77777777" w:rsidR="00D151B6" w:rsidRPr="001823ED" w:rsidRDefault="00D151B6" w:rsidP="009D21B5">
      <w:pPr>
        <w:widowControl w:val="0"/>
        <w:rPr>
          <w:i/>
        </w:rPr>
      </w:pPr>
    </w:p>
    <w:p w14:paraId="78AEAB4E" w14:textId="1C2FF00D" w:rsidR="00D151B6" w:rsidRPr="001823ED" w:rsidRDefault="00D151B6" w:rsidP="009D21B5">
      <w:pPr>
        <w:pStyle w:val="Heading2"/>
        <w:keepNext w:val="0"/>
        <w:keepLines w:val="0"/>
        <w:widowControl w:val="0"/>
      </w:pPr>
      <w:bookmarkStart w:id="8" w:name="_Toc69722981"/>
      <w:r w:rsidRPr="001823ED">
        <w:lastRenderedPageBreak/>
        <w:t>Rationale for inclusion of the low-risk cohort</w:t>
      </w:r>
      <w:bookmarkEnd w:id="8"/>
    </w:p>
    <w:p w14:paraId="780F7B9D" w14:textId="75AAC677" w:rsidR="00B12434" w:rsidRPr="00A015DF" w:rsidRDefault="00D151B6" w:rsidP="00A015DF">
      <w:pPr>
        <w:widowControl w:val="0"/>
      </w:pPr>
      <w:r w:rsidRPr="001823ED">
        <w:t>The low-risk cohort was designed to reflect the ‘healthy’ pregnancy population as much as possible. Participation was limited to parous women only because the high-risk cohort consisted of pa</w:t>
      </w:r>
      <w:r w:rsidR="00FF526D" w:rsidRPr="001823ED">
        <w:t xml:space="preserve">rous women </w:t>
      </w:r>
      <w:r w:rsidRPr="001823ED">
        <w:t xml:space="preserve">by definition. VMB compositions are known to be influenced by local factors such as the </w:t>
      </w:r>
      <w:r w:rsidR="00FF526D" w:rsidRPr="001823ED">
        <w:t xml:space="preserve">age and ethnicity </w:t>
      </w:r>
      <w:r w:rsidRPr="001823ED">
        <w:t>distribution, li</w:t>
      </w:r>
      <w:r w:rsidR="00FF526D" w:rsidRPr="001823ED">
        <w:t>festyle factors (including diet and hormonal contraception use), and environmental factors.</w:t>
      </w:r>
      <w:r w:rsidRPr="001823ED">
        <w:fldChar w:fldCharType="begin" w:fldLock="1"/>
      </w:r>
      <w:r w:rsidR="008225FC">
        <w:instrText>ADDIN CSL_CITATION {"citationItems":[{"id":"ITEM-1","itemData":{"DOI":"10.1016/j.cell.2019.01.001","ISSN":"10974172","PMID":"30661755","abstract":"The body-wide human microbiome plays a role in health, but its full diversity remains uncharacterized, particularly outside of the gut and in international populations. We leveraged 9,428 metagenomes to reconstruct 154,723 microbial genomes (45% of high quality) spanning body sites, ages, countries, and lifestyles. We recapitulated 4,930 species-level genome bins (SGBs), 77% without genomes in public repositories (unknown SGBs [uSGBs]). uSGBs are prevalent (in 93% of well-assembled samples), expand underrepresented phyla, and are enriched in non-Westernized populations (40% of the total SGBs). We annotated 2.85 M genes in SGBs, many associated with conditions including infant development (94,000) or Westernization (106,000). SGBs and uSGBs permit deeper microbiome analyses and increase the average mappability of metagenomic reads from 67.76% to 87.51% in the gut (median 94.26%) and 65.14% to 82.34% in the mouth. We thus identify thousands of microbial genomes from yet-to-be-named species, expand the pangenomes of human-associated microbes, and allow better exploitation of metagenomic technologies.","author":[{"dropping-particle":"","family":"Pasolli","given":"Edoardo","non-dropping-particle":"","parse-names":false,"suffix":""},{"dropping-particle":"","family":"Asnicar","given":"Francesco","non-dropping-particle":"","parse-names":false,"suffix":""},{"dropping-particle":"","family":"Manara","given":"Serena","non-dropping-particle":"","parse-names":false,"suffix":""},{"dropping-particle":"","family":"Zolfo","given":"Moreno","non-dropping-particle":"","parse-names":false,"suffix":""},{"dropping-particle":"","family":"Karcher","given":"Nicolai","non-dropping-particle":"","parse-names":false,"suffix":""},{"dropping-particle":"","family":"Armanini","given":"Federica","non-dropping-particle":"","parse-names":false,"suffix":""},{"dropping-particle":"","family":"Beghini","given":"Francesco","non-dropping-particle":"","parse-names":false,"suffix":""},{"dropping-particle":"","family":"Manghi","given":"Paolo","non-dropping-particle":"","parse-names":false,"suffix":""},{"dropping-particle":"","family":"Tett","given":"Adrian","non-dropping-particle":"","parse-names":false,"suffix":""},{"dropping-particle":"","family":"Ghensi","given":"Paolo","non-dropping-particle":"","parse-names":false,"suffix":""},{"dropping-particle":"","family":"Collado","given":"Maria Carmen","non-dropping-particle":"","parse-names":false,"suffix":""},{"dropping-particle":"","family":"Rice","given":"Benjamin L.","non-dropping-particle":"","parse-names":false,"suffix":""},{"dropping-particle":"","family":"DuLong","given":"Casey","non-dropping-particle":"","parse-names":false,"suffix":""},{"dropping-particle":"","family":"Morgan","given":"Xochitl C.","non-dropping-particle":"","parse-names":false,"suffix":""},{"dropping-particle":"","family":"Golden","given":"Christopher D.","non-dropping-particle":"","parse-names":false,"suffix":""},{"dropping-particle":"","family":"Quince","given":"Christopher","non-dropping-particle":"","parse-names":false,"suffix":""},{"dropping-particle":"","family":"Huttenhower","given":"Curtis","non-dropping-particle":"","parse-names":false,"suffix":""},{"dropping-particle":"","family":"Segata","given":"Nicola","non-dropping-particle":"","parse-names":false,"suffix":""}],"container-title":"Cell","id":"ITEM-1","issue":"3","issued":{"date-parts":[["2019"]]},"page":"649-662.e20","publisher":"Elsevier Inc.","title":"Extensive Unexplored Human Microbiome Diversity Revealed by Over 150,000 Genomes from Metagenomes Spanning Age, Geography, and Lifestyle","type":"article-journal","volume":"176"},"uris":["http://www.mendeley.com/documents/?uuid=ce64b82c-de4f-4b4c-bb8d-700238b87a78"]},{"id":"ITEM-2","itemData":{"DOI":"10.1038/nature11053","ISSN":"1476-4687","abstract":"Gut microbial communities represent one source of human genetic and metabolic diversity. To examine how gut microbiomes differ among human populations, here we characterize bacterial species in fecal samples from 531 individuals, plus the gene content of 110 of them. The cohort encompassed healthy children and adults from the Amazonas of Venezuela, rural Malawi and US metropolitan areas and included mono- and dizygotic twins. Shared features of the functional maturation of the gut microbiome were identified during the first three years of life in all three populations, including age-associated changes in the genes involved in vitamin biosynthesis and metabolism. Pronounced differences in bacterial assemblages and functional gene repertoires were noted between US residents and those in the other two countries. These distinctive features are evident in early infancy as well as adulthood. Our findings underscore the need to consider the microbiome when evaluating human development, nutritional needs, physiological variations and the impact of westernization.","author":[{"dropping-particle":"","family":"Yatsunenko","given":"Tanya","non-dropping-particle":"","parse-names":false,"suffix":""},{"dropping-particle":"","family":"Rey","given":"Federico E","non-dropping-particle":"","parse-names":false,"suffix":""},{"dropping-particle":"","family":"Manary","given":"Mark J","non-dropping-particle":"","parse-names":false,"suffix":""},{"dropping-particle":"","family":"Trehan","given":"Indi","non-dropping-particle":"","parse-names":false,"suffix":""},{"dropping-particle":"","family":"Dominguez-Bello","given":"Maria Gloria","non-dropping-particle":"","parse-names":false,"suffix":""},{"dropping-particle":"","family":"Contreras","given":"Monica","non-dropping-particle":"","parse-names":false,"suffix":""},{"dropping-particle":"","family":"Magris","given":"Magda","non-dropping-particle":"","parse-names":false,"suffix":""},{"dropping-particle":"","family":"Hidalgo","given":"Glida","non-dropping-particle":"","parse-names":false,"suffix":""},{"dropping-particle":"","family":"Baldassano","given":"Robert N","non-dropping-particle":"","parse-names":false,"suffix":""},{"dropping-particle":"","family":"Anokhin","given":"Andrey P","non-dropping-particle":"","parse-names":false,"suffix":""},{"dropping-particle":"","family":"Heath","given":"Andrew C","non-dropping-particle":"","parse-names":false,"suffix":""},{"dropping-particle":"","family":"Warner","given":"Barbara","non-dropping-particle":"","parse-names":false,"suffix":""},{"dropping-particle":"","family":"Reeder","given":"Jens","non-dropping-particle":"","parse-names":false,"suffix":""},{"dropping-particle":"","family":"Kuczynski","given":"Justin","non-dropping-particle":"","parse-names":false,"suffix":""},{"dropping-particle":"","family":"Caporaso","given":"J Gregory","non-dropping-particle":"","parse-names":false,"suffix":""},{"dropping-particle":"","family":"Lozupone","given":"Catherine A","non-dropping-particle":"","parse-names":false,"suffix":""},{"dropping-particle":"","family":"Lauber","given":"Christian","non-dropping-particle":"","parse-names":false,"suffix":""},{"dropping-particle":"","family":"Clemente","given":"Jose Carlos","non-dropping-particle":"","parse-names":false,"suffix":""},{"dropping-particle":"","family":"Knights","given":"Dan","non-dropping-particle":"","parse-names":false,"suffix":""},{"dropping-particle":"","family":"Knight","given":"Rob","non-dropping-particle":"","parse-names":false,"suffix":""},{"dropping-particle":"","family":"Gordon","given":"Jeffrey I","non-dropping-particle":"","parse-names":false,"suffix":""}],"container-title":"Nature","id":"ITEM-2","issue":"7402","issued":{"date-parts":[["2012"]]},"page":"222-227","title":"Human gut microbiome viewed across age and geography","type":"article-journal","volume":"486"},"uris":["http://www.mendeley.com/documents/?uuid=43606e6a-a117-43da-b9c8-1995d011c0f8"]}],"mendeley":{"formattedCitation":"&lt;sup&gt;3,4&lt;/sup&gt;","plainTextFormattedCitation":"3,4","previouslyFormattedCitation":"&lt;sup&gt;3,4&lt;/sup&gt;"},"properties":{"noteIndex":0},"schema":"https://github.com/citation-style-language/schema/raw/master/csl-citation.json"}</w:instrText>
      </w:r>
      <w:r w:rsidRPr="001823ED">
        <w:fldChar w:fldCharType="separate"/>
      </w:r>
      <w:r w:rsidR="0042078F" w:rsidRPr="0042078F">
        <w:rPr>
          <w:noProof/>
          <w:vertAlign w:val="superscript"/>
        </w:rPr>
        <w:t>3,4</w:t>
      </w:r>
      <w:r w:rsidRPr="001823ED">
        <w:fldChar w:fldCharType="end"/>
      </w:r>
      <w:r w:rsidR="00FF526D" w:rsidRPr="001823ED">
        <w:rPr>
          <w:vertAlign w:val="superscript"/>
        </w:rPr>
        <w:t>,</w:t>
      </w:r>
      <w:r w:rsidRPr="001823ED">
        <w:fldChar w:fldCharType="begin" w:fldLock="1"/>
      </w:r>
      <w:r w:rsidR="008225FC">
        <w:instrText>ADDIN CSL_CITATION {"citationItems":[{"id":"ITEM-1","itemData":{"DOI":"10.1371/journal.pone.0181135","ISSN":"19326203","abstract":"Objective: To evaluate whether ethnicity is independently associated with vaginal microbiota (VMB) composition in women living in Amsterdam, the Netherlands, as has been shown for American women. Methods: Women (18-34 years, non-pregnant, N = 610) representing the six largest ethnic groups (Dutch, African Surinamese, South-Asian Surinamese, Turkish, Moroccan, and Ghanaian) were sampled from the population-based HELIUS study. Sampling was performed irrespective of health status or healthcare seeking behavior. DNA was extracted from self-sampled vaginal swabs and sequenced by Illumina MiSeq (16S rRNA gene V3-V4 region). Results: The overall prevalence of VMBs not dominated by lactobacilli was 38.5%: 32.2% had a VMB resembling bacterial vaginosis and another 6.2% had a VMB dominated by Bifidobacteriaceae (not including Gardnerella vaginalis), Corynebacterium, or pathobionts (streptococci, staphylococci, Proteus or Enterobacteriaceae). The most prevalent VMB in ethnically Dutch women was a Lactobacillus crispatus-dominated VMB, in African Surinamese and Ghanaian women a polybacterial G. vaginalis-containing VMB, and in the other ethnic groups a L. iners-dominated VMB. After adjustment for sociodemographic, behavioral and clinical factors, African Surinamese ethnicity (adjusted odds ratio (aOR) 5.1, 95% confidence interval (CI) 2.1-12.0) and Ghanaian ethnicity (aOR 4.8, 95% CI 1.8-12.6) were associated with having a polybacterial G. vaginalis-containing VMB, and African Surinamese ethnicity with a L. iners-dominated VMB (aOR 2.8, 95% CI 1.2-6.2). Shorter steady relationship duration, inconsistent condom use with casual partners, and not using hormonal contraception were also associated with having a polybacterial G. vaginalis-containing VMB, but human papillomavirus infection was not. Other sexually transmitted infections were uncommon. Conclusions: The overall prevalence of having a VMB not dominated by lactobacilli in this populationbased cohort of women aged 18-34 years in Amsterdam was high (38.5%), and women of sub-Saharan African descent were significantly more likely to have a polybacterial G. vaginalis- containing VMB than Dutch women independent of modifiable behaviors.","author":[{"dropping-particle":"","family":"Borgdorff","given":"Hanneke","non-dropping-particle":"","parse-names":false,"suffix":""},{"dropping-particle":"","family":"Veer","given":"Charlotte","non-dropping-particle":"Van Der","parse-names":false,"suffix":""},{"dropping-particle":"","family":"Houdt","given":"Robin","non-dropping-particle":"Van","parse-names":false,"suffix":""},{"dropping-particle":"","family":"Alberts","given":"Catharina J.","non-dropping-particle":"","parse-names":false,"suffix":""},{"dropping-particle":"","family":"Vries","given":"Henry J.","non-dropping-particle":"De","parse-names":false,"suffix":""},{"dropping-particle":"","family":"Bruisten","given":"Sylvia M.","non-dropping-particle":"","parse-names":false,"suffix":""},{"dropping-particle":"","family":"Snijder","given":"Marieke B.","non-dropping-particle":"","parse-names":false,"suffix":""},{"dropping-particle":"","family":"Prins","given":"Maria","non-dropping-particle":"","parse-names":false,"suffix":""},{"dropping-particle":"","family":"Geerlings","given":"Suzanne E.","non-dropping-particle":"","parse-names":false,"suffix":""},{"dropping-particle":"","family":"Loeff","given":"Maarten F.Schim","non-dropping-particle":"Van Der","parse-names":false,"suffix":""},{"dropping-particle":"","family":"Wijgert","given":"Janneke H.H.M.","non-dropping-particle":"Van De","parse-names":false,"suffix":""}],"container-title":"PLoS ONE","id":"ITEM-1","issue":"7","issued":{"date-parts":[["2017"]]},"title":"The association between ethnicity and vaginal microbiota composition in Amsterdam, the Netherlands","type":"article-journal","volume":"12"},"uris":["http://www.mendeley.com/documents/?uuid=bcbfcef3-a3f6-3cc0-a9c8-cdfe87326425"]},{"id":"ITEM-2","itemData":{"DOI":"10.1038/s41372-019-0343-8","ISSN":"1476-5543","abstract":"Evidence supports an inverse association between vitamin D and bacterial vaginosis (BV) during pregnancy. Furthermore, both the vaginal microbiome and vitamin D status correlate with pregnancy outcome. Women of African ancestry are more likely to experience BV, to be vitamin D deficient, and to have certain pregnancy complications. We investigated the association between vitamin D status and the vaginal microbiome.","author":[{"dropping-particle":"","family":"Jefferson","given":"Kimberly K","non-dropping-particle":"","parse-names":false,"suffix":""},{"dropping-particle":"","family":"Parikh","given":"Hardik I","non-dropping-particle":"","parse-names":false,"suffix":""},{"dropping-particle":"","family":"Garcia","given":"Erin M","non-dropping-particle":"","parse-names":false,"suffix":""},{"dropping-particle":"","family":"Edwards","given":"David J","non-dropping-particle":"","parse-names":false,"suffix":""},{"dropping-particle":"","family":"Serrano","given":"Myrna G","non-dropping-particle":"","parse-names":false,"suffix":""},{"dropping-particle":"","family":"Hewison","given":"Martin","non-dropping-particle":"","parse-names":false,"suffix":""},{"dropping-particle":"","family":"Shary","given":"Judith R","non-dropping-particle":"","parse-names":false,"suffix":""},{"dropping-particle":"","family":"Powell","given":"Anna M","non-dropping-particle":"","parse-names":false,"suffix":""},{"dropping-particle":"","family":"Hollis","given":"Bruce W","non-dropping-particle":"","parse-names":false,"suffix":""},{"dropping-particle":"","family":"Fettweis","given":"Jennifer M","non-dropping-particle":"","parse-names":false,"suffix":""},{"dropping-particle":"","family":"Strauss III","given":"Jerome F","non-dropping-particle":"","parse-names":false,"suffix":""},{"dropping-particle":"","family":"Buck","given":"Gregory A","non-dropping-particle":"","parse-names":false,"suffix":""},{"dropping-particle":"","family":"Wagner","given":"Carol L","non-dropping-particle":"","parse-names":false,"suffix":""}],"container-title":"Journal of Perinatology","id":"ITEM-2","issue":"6","issued":{"date-parts":[["2019"]]},"page":"824-836","title":"Relationship between vitamin D status and the vaginal microbiome during pregnancy","type":"article-journal","volume":"39"},"uris":["http://www.mendeley.com/documents/?uuid=eaf5382e-f9f1-4304-8f69-a1bcde5087a1"]}],"mendeley":{"formattedCitation":"&lt;sup&gt;5,6&lt;/sup&gt;","plainTextFormattedCitation":"5,6","previouslyFormattedCitation":"&lt;sup&gt;5,6&lt;/sup&gt;"},"properties":{"noteIndex":0},"schema":"https://github.com/citation-style-language/schema/raw/master/csl-citation.json"}</w:instrText>
      </w:r>
      <w:r w:rsidRPr="001823ED">
        <w:fldChar w:fldCharType="separate"/>
      </w:r>
      <w:r w:rsidR="0042078F" w:rsidRPr="0042078F">
        <w:rPr>
          <w:noProof/>
          <w:vertAlign w:val="superscript"/>
        </w:rPr>
        <w:t>5,6</w:t>
      </w:r>
      <w:r w:rsidRPr="001823ED">
        <w:fldChar w:fldCharType="end"/>
      </w:r>
      <w:r w:rsidR="00FF526D" w:rsidRPr="001823ED">
        <w:rPr>
          <w:iCs/>
        </w:rPr>
        <w:t xml:space="preserve"> W</w:t>
      </w:r>
      <w:r w:rsidRPr="001823ED">
        <w:rPr>
          <w:iCs/>
        </w:rPr>
        <w:t>e wanted to characterise the expected distributio</w:t>
      </w:r>
      <w:r w:rsidR="00FF526D" w:rsidRPr="001823ED">
        <w:rPr>
          <w:iCs/>
        </w:rPr>
        <w:t>n of VMB parameters in our local population because this had never been done before</w:t>
      </w:r>
      <w:r w:rsidRPr="001823ED">
        <w:rPr>
          <w:iCs/>
        </w:rPr>
        <w:t xml:space="preserve">. </w:t>
      </w:r>
      <w:r w:rsidRPr="001823ED">
        <w:t>In addition</w:t>
      </w:r>
      <w:r w:rsidR="00FF526D" w:rsidRPr="001823ED">
        <w:t>,</w:t>
      </w:r>
      <w:r w:rsidRPr="001823ED">
        <w:t xml:space="preserve"> there is </w:t>
      </w:r>
      <w:r w:rsidR="00FF526D" w:rsidRPr="001823ED">
        <w:t>no consensus yet on how best to analyse VMB sequencing data</w:t>
      </w:r>
      <w:r w:rsidRPr="001823ED">
        <w:t>.</w:t>
      </w:r>
      <w:r w:rsidRPr="001823ED">
        <w:fldChar w:fldCharType="begin" w:fldLock="1"/>
      </w:r>
      <w:r w:rsidR="008225FC">
        <w:instrText>ADDIN CSL_CITATION {"citationItems":[{"id":"ITEM-1","itemData":{"DOI":"10.1038/s41591-019-0450-2","ISSN":"1546170X","abstract":"The incidence of preterm birth exceeds 10% worldwide. There are significant disparities in the frequency of preterm birth among populations within countries, and women of African ancestry disproportionately bear the burden of risk in the United States. In the present study, we report a community resource that includes ‘omics’ data from approximately 12,000 samples as part of the integrative Human Microbiome Project. Longitudinal analyses of 16S ribosomal RNA, metagenomic, metatranscriptomic and cytokine profiles from 45 preterm and 90 term birth controls identified harbingers of preterm birth in this cohort of women predominantly of African ancestry. Women who delivered preterm exhibited significantly lower vaginal levels of Lactobacillus crispatus and higher levels of BVAB1, Sneathia amnii, TM7-H1, a group of Prevotella species and nine additional taxa. The first representative genomes of BVAB1 and TM7-H1 are described. Preterm-birth-associated taxa were correlated with proinflammatory cytokines in vaginal fluid. These findings highlight new opportunities for assessment of the risk of preterm birth.","author":[{"dropping-particle":"","family":"Fettweis","given":"Jennifer M.","non-dropping-particle":"","parse-names":false,"suffix":""},{"dropping-particle":"","family":"Serrano","given":"Myrna G.","non-dropping-particle":"","parse-names":false,"suffix":""},{"dropping-particle":"","family":"Brooks","given":"J. Paul","non-dropping-particle":"","parse-names":false,"suffix":""},{"dropping-particle":"","family":"Edwards","given":"David J.","non-dropping-particle":"","parse-names":false,"suffix":""},{"dropping-particle":"","family":"Girerd","given":"Philippe H.","non-dropping-particle":"","parse-names":false,"suffix":""},{"dropping-particle":"","family":"Parikh","given":"Hardik I.","non-dropping-particle":"","parse-names":false,"suffix":""},{"dropping-particle":"","family":"Huang","given":"Bernice","non-dropping-particle":"","parse-names":false,"suffix":""},{"dropping-particle":"","family":"Arodz","given":"Tom J.","non-dropping-particle":"","parse-names":false,"suffix":""},{"dropping-particle":"","family":"Edupuganti","given":"Laahirie","non-dropping-particle":"","parse-names":false,"suffix":""},{"dropping-particle":"","family":"Glascock","given":"Abigail L.","non-dropping-particle":"","parse-names":false,"suffix":""},{"dropping-particle":"","family":"Xu","given":"Jie","non-dropping-particle":"","parse-names":false,"suffix":""},{"dropping-particle":"","family":"Jimenez","given":"Nicole R.","non-dropping-particle":"","parse-names":false,"suffix":""},{"dropping-particle":"","family":"Vivadelli","given":"Stephany C.","non-dropping-particle":"","parse-names":false,"suffix":""},{"dropping-particle":"","family":"Fong","given":"Stephen S.","non-dropping-particle":"","parse-names":false,"suffix":""},{"dropping-particle":"","family":"Sheth","given":"Nihar U.","non-dropping-particle":"","parse-names":false,"suffix":""},{"dropping-particle":"","family":"Jean","given":"Sophonie","non-dropping-particle":"","parse-names":false,"suffix":""},{"dropping-particle":"","family":"Lee","given":"Vladimir","non-dropping-particle":"","parse-names":false,"suffix":""},{"dropping-particle":"","family":"Bokhari","given":"Yahya A.","non-dropping-particle":"","parse-names":false,"suffix":""},{"dropping-particle":"","family":"Lara","given":"Ana M.","non-dropping-particle":"","parse-names":false,"suffix":""},{"dropping-particle":"","family":"Mistry","given":"Shreni D.","non-dropping-particle":"","parse-names":false,"suffix":""},{"dropping-particle":"","family":"Duckworth","given":"Robert A.","non-dropping-particle":"","parse-names":false,"suffix":""},{"dropping-particle":"","family":"Bradley","given":"Steven P.","non-dropping-particle":"","parse-names":false,"suffix":""},{"dropping-particle":"","family":"Koparde","given":"Vishal N.","non-dropping-particle":"","parse-names":false,"suffix":""},{"dropping-particle":"","family":"Orenda","given":"X. Valentine","non-dropping-particle":"","parse-names":false,"suffix":""},{"dropping-particle":"","family":"Milton","given":"Sarah H.","non-dropping-particle":"","parse-names":false,"suffix":""},{"dropping-particle":"","family":"Rozycki","given":"Sarah K.","non-dropping-particle":"","parse-names":false,"suffix":""},{"dropping-particle":"V.","family":"Matveyev","given":"Andrey","non-dropping-particle":"","parse-names":false,"suffix":""},{"dropping-particle":"","family":"Wright","given":"Michelle L.","non-dropping-particle":"","parse-names":false,"suffix":""},{"dropping-particle":"V.","family":"Huzurbazar","given":"Snehalata","non-dropping-particle":"","parse-names":false,"suffix":""},{"dropping-particle":"","family":"Jackson","given":"Eugenie M.","non-dropping-particle":"","parse-names":false,"suffix":""},{"dropping-particle":"","family":"Smirnova","given":"Ekaterina","non-dropping-particle":"","parse-names":false,"suffix":""},{"dropping-particle":"","family":"Korlach","given":"Jonas","non-dropping-particle":"","parse-names":false,"suffix":""},{"dropping-particle":"","family":"Tsai","given":"Yu Chih","non-dropping-particle":"","parse-names":false,"suffix":""},{"dropping-particle":"","family":"Dickinson","given":"Molly R.","non-dropping-particle":"","parse-names":false,"suffix":""},{"dropping-particle":"","family":"Brooks","given":"Jamie L.","non-dropping-particle":"","parse-names":false,"suffix":""},{"dropping-particle":"","family":"Drake","given":"Jennifer I.","non-dropping-particle":"","parse-names":false,"suffix":""},{"dropping-particle":"","family":"Chaffin","given":"Donald O.","non-dropping-particle":"","parse-names":false,"suffix":""},{"dropping-particle":"","family":"Sexton","given":"Amber L.","non-dropping-particle":"","parse-names":false,"suffix":""},{"dropping-particle":"","family":"Gravett","given":"Michael G.","non-dropping-particle":"","parse-names":false,"suffix":""},{"dropping-particle":"","family":"Rubens","given":"Craig E.","non-dropping-particle":"","parse-names":false,"suffix":""},{"dropping-particle":"","family":"Wijesooriya","given":"N. Romesh","non-dropping-particle":"","parse-names":false,"suffix":""},{"dropping-particle":"","family":"Hendricks-Muñoz","given":"Karen D.","non-dropping-particle":"","parse-names":false,"suffix":""},{"dropping-particle":"","family":"Jefferson","given":"Kimberly K.","non-dropping-particle":"","parse-names":false,"suffix":""},{"dropping-particle":"","family":"Strauss","given":"Jerome F.","non-dropping-particle":"","parse-names":false,"suffix":""},{"dropping-particle":"","family":"Buck","given":"Gregory A.","non-dropping-particle":"","parse-names":false,"suffix":""}],"container-title":"Nature Medicine","id":"ITEM-1","issue":"6","issued":{"date-parts":[["2019"]]},"page":"1012-1021","title":"The vaginal microbiome and preterm birth","type":"article-journal","volume":"25"},"uris":["http://www.mendeley.com/documents/?uuid=f54b6faa-61fc-47b2-88c3-37a7cc047392"]},{"id":"ITEM-2","itemData":{"DOI":"10.1016/j.placenta.2019.03.011","ISSN":"15323102","abstract":"Objective: This systematic review aims to identify, critically appraise and summarize the results of studies examining the relationship between the vaginal microbiota and preterm birth (PTB). Methods: We searched the electronic databases Medline, EMBASE and the Cochrane Controlled Register of Trials for studies in any language reporting on vaginal microbiota and PTB published from 1990 to November 29th, 2017. We included any study that performed lower genital tract microbiota assessment in asymptomatic pregnant women and reported on spontaneous preterm birth, with either intact or ruptured membranes. Results: The search strategy yielded 2171 unique citations, of which nine studies were eligible for inclusion in this review. In six studies an association was found between the composition of the vaginal microbiota and PTB, but findings differed between subgroups, ethnicities and degree of risk of PTB. In three studies no association was found. Two of these studies found a significant difference in richness and Shannon diversity between term and PTB. Conclusions: We have demonstrated that there is a paucity of molecular based, culture-independent studies that analyse the relationship between the vaginal microbiota and PTB as an outcome. The heterogeneity precluded a meta-analysis. Studies provide contradictory evidence and the quality of the clinical information in the studies is poor. To improve quality of future studies we have provided a database of essential and desirable items of quality that are method and topic specific.","author":[{"dropping-particle":"","family":"Peelen","given":"Myrthe JCS","non-dropping-particle":"","parse-names":false,"suffix":""},{"dropping-particle":"","family":"Luef","given":"Birgitte Møller","non-dropping-particle":"","parse-names":false,"suffix":""},{"dropping-particle":"","family":"Lamont","given":"Ronald F.","non-dropping-particle":"","parse-names":false,"suffix":""},{"dropping-particle":"","family":"Milliano","given":"Inge","non-dropping-particle":"de","parse-names":false,"suffix":""},{"dropping-particle":"","family":"Jensen","given":"Jørgen Skov","non-dropping-particle":"","parse-names":false,"suffix":""},{"dropping-particle":"","family":"Limpens","given":"Jacqueline","non-dropping-particle":"","parse-names":false,"suffix":""},{"dropping-particle":"","family":"Hajenius","given":"Petra J.","non-dropping-particle":"","parse-names":false,"suffix":""},{"dropping-particle":"","family":"Jørgensen","given":"Jan Stener","non-dropping-particle":"","parse-names":false,"suffix":""},{"dropping-particle":"","family":"Menon","given":"Ramkumar","non-dropping-particle":"","parse-names":false,"suffix":""}],"container-title":"Placenta","id":"ITEM-2","issue":"December 2018","issued":{"date-parts":[["2019"]]},"page":"30-39","publisher":"Elsevier","title":"The influence of the vaginal microbiota on preterm birth: A systematic review and recommendations for a minimum dataset for future research","type":"article-journal","volume":"79"},"uris":["http://www.mendeley.com/documents/?uuid=a3c891e3-42b6-4aae-a17e-6f172b959101"]}],"mendeley":{"formattedCitation":"&lt;sup&gt;7,8&lt;/sup&gt;","plainTextFormattedCitation":"7,8","previouslyFormattedCitation":"&lt;sup&gt;7,8&lt;/sup&gt;"},"properties":{"noteIndex":0},"schema":"https://github.com/citation-style-language/schema/raw/master/csl-citation.json"}</w:instrText>
      </w:r>
      <w:r w:rsidRPr="001823ED">
        <w:fldChar w:fldCharType="separate"/>
      </w:r>
      <w:r w:rsidR="0042078F" w:rsidRPr="0042078F">
        <w:rPr>
          <w:noProof/>
          <w:vertAlign w:val="superscript"/>
        </w:rPr>
        <w:t>7,8</w:t>
      </w:r>
      <w:r w:rsidRPr="001823ED">
        <w:fldChar w:fldCharType="end"/>
      </w:r>
      <w:r w:rsidRPr="001823ED">
        <w:t xml:space="preserve"> The low-risk cohort allowed us to describe t</w:t>
      </w:r>
      <w:r w:rsidR="00FF526D" w:rsidRPr="001823ED">
        <w:t xml:space="preserve">he expected distribution of </w:t>
      </w:r>
      <w:r w:rsidRPr="001823ED">
        <w:t xml:space="preserve">VMB parameters using our </w:t>
      </w:r>
      <w:r w:rsidR="00FF526D" w:rsidRPr="001823ED">
        <w:t xml:space="preserve">own </w:t>
      </w:r>
      <w:r w:rsidRPr="001823ED">
        <w:t xml:space="preserve">analysis methods. </w:t>
      </w:r>
    </w:p>
    <w:p w14:paraId="4465E6C6" w14:textId="0B242292" w:rsidR="00D151B6" w:rsidRPr="001823ED" w:rsidRDefault="00D151B6" w:rsidP="009D21B5">
      <w:pPr>
        <w:widowControl w:val="0"/>
      </w:pPr>
    </w:p>
    <w:p w14:paraId="60AB4AC1" w14:textId="28D66824" w:rsidR="0086640C" w:rsidRPr="001823ED" w:rsidRDefault="0086640C" w:rsidP="009D21B5">
      <w:pPr>
        <w:pStyle w:val="Heading2"/>
        <w:keepNext w:val="0"/>
        <w:keepLines w:val="0"/>
        <w:widowControl w:val="0"/>
      </w:pPr>
      <w:bookmarkStart w:id="9" w:name="_Toc69722982"/>
      <w:r w:rsidRPr="001823ED">
        <w:t>Recruitment procedures</w:t>
      </w:r>
      <w:bookmarkEnd w:id="9"/>
    </w:p>
    <w:p w14:paraId="1EAE3EAE" w14:textId="1E8731C3" w:rsidR="0086640C" w:rsidRPr="001823ED" w:rsidRDefault="0086640C" w:rsidP="009D21B5">
      <w:pPr>
        <w:widowControl w:val="0"/>
      </w:pPr>
      <w:r w:rsidRPr="001823ED">
        <w:t>In the UK</w:t>
      </w:r>
      <w:r w:rsidR="00047FCF" w:rsidRPr="001823ED">
        <w:t>,</w:t>
      </w:r>
      <w:r w:rsidRPr="001823ED">
        <w:t xml:space="preserve"> all pregna</w:t>
      </w:r>
      <w:r w:rsidR="00047FCF" w:rsidRPr="001823ED">
        <w:t>nt women are encouraged to book</w:t>
      </w:r>
      <w:r w:rsidRPr="001823ED">
        <w:t xml:space="preserve"> with an antenatal care provider in the first trimester, and the majority of women will </w:t>
      </w:r>
      <w:r w:rsidR="00047FCF" w:rsidRPr="001823ED">
        <w:t xml:space="preserve">continue to </w:t>
      </w:r>
      <w:r w:rsidRPr="001823ED">
        <w:t>receive antenat</w:t>
      </w:r>
      <w:r w:rsidR="00047FCF" w:rsidRPr="001823ED">
        <w:t>al and intrapartum care from that</w:t>
      </w:r>
      <w:r w:rsidRPr="001823ED">
        <w:t xml:space="preserve"> same provider.</w:t>
      </w:r>
      <w:r w:rsidRPr="001823ED">
        <w:fldChar w:fldCharType="begin" w:fldLock="1"/>
      </w:r>
      <w:r w:rsidRPr="001823ED">
        <w:instrText>ADDIN CSL_CITATION {"citationItems":[{"id":"ITEM-1","itemData":{"DOI":"10.1017/CBO9781107415324.004","ISBN":"9788578110796","ISSN":"1098-6596","PMID":"25246403","abstract":"The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Antenatal care for uncomplicated pregnancies (CG62)","author":[{"dropping-particle":"","family":"National Institute for Health and Care Excellence","given":"","non-dropping-particle":"","parse-names":false,"suffix":""}],"container-title":"Clinical Guideline","id":"ITEM-1","issue":"March","issued":{"date-parts":[["2008"]]},"page":"1 - 55","title":"Antenatal care for uncomplicated pregnancies","type":"article-journal"},"uris":["http://www.mendeley.com/documents/?uuid=45ac3b34-603c-44ee-a443-6e514a5f15f4"]}],"mendeley":{"formattedCitation":"&lt;sup&gt;1&lt;/sup&gt;","plainTextFormattedCitation":"1","previouslyFormattedCitation":"&lt;sup&gt;1&lt;/sup&gt;"},"properties":{"noteIndex":0},"schema":"https://github.com/citation-style-language/schema/raw/master/csl-citation.json"}</w:instrText>
      </w:r>
      <w:r w:rsidRPr="001823ED">
        <w:fldChar w:fldCharType="separate"/>
      </w:r>
      <w:r w:rsidRPr="001823ED">
        <w:rPr>
          <w:noProof/>
          <w:vertAlign w:val="superscript"/>
        </w:rPr>
        <w:t>1</w:t>
      </w:r>
      <w:r w:rsidRPr="001823ED">
        <w:fldChar w:fldCharType="end"/>
      </w:r>
      <w:r w:rsidRPr="001823ED">
        <w:t xml:space="preserve"> Liverpool Women’s Hospital</w:t>
      </w:r>
      <w:r w:rsidRPr="001823ED">
        <w:fldChar w:fldCharType="begin" w:fldLock="1"/>
      </w:r>
      <w:r w:rsidR="003335F9">
        <w:instrText>ADDIN CSL_CITATION {"citationItems":[{"id":"ITEM-1","itemData":{"URL":"https://www.liverpoolwomens.nhs.uk/our-services/maternity/","accessed":{"date-parts":[["2020","8","29"]]},"author":[{"dropping-particle":"","family":"Liverpool Women's NHS Foundation Trust","given":"","non-dropping-particle":"","parse-names":false,"suffix":""}],"id":"ITEM-1","issued":{"date-parts":[["0"]]},"title":"Liverpool Women's Hosital","type":"webpage"},"uris":["http://www.mendeley.com/documents/?uuid=00823cb6-0497-4069-b0bf-ef20c2dbcb98"]}],"mendeley":{"formattedCitation":"&lt;sup&gt;9&lt;/sup&gt;","plainTextFormattedCitation":"9","previouslyFormattedCitation":"&lt;sup&gt;9&lt;/sup&gt;"},"properties":{"noteIndex":0},"schema":"https://github.com/citation-style-language/schema/raw/master/csl-citation.json"}</w:instrText>
      </w:r>
      <w:r w:rsidRPr="001823ED">
        <w:fldChar w:fldCharType="separate"/>
      </w:r>
      <w:r w:rsidR="00D213DC" w:rsidRPr="00D213DC">
        <w:rPr>
          <w:noProof/>
          <w:vertAlign w:val="superscript"/>
        </w:rPr>
        <w:t>9</w:t>
      </w:r>
      <w:r w:rsidRPr="001823ED">
        <w:fldChar w:fldCharType="end"/>
      </w:r>
      <w:r w:rsidRPr="001823ED">
        <w:t xml:space="preserve"> is one such care provider, with the largest stand-alone maternity unit in the UK and a dedicated midwifery led birthing suite. </w:t>
      </w:r>
      <w:r w:rsidR="00047FCF" w:rsidRPr="001823ED">
        <w:t xml:space="preserve">The hospital </w:t>
      </w:r>
      <w:r w:rsidRPr="001823ED">
        <w:t xml:space="preserve">provides </w:t>
      </w:r>
      <w:r w:rsidR="00047FCF" w:rsidRPr="001823ED">
        <w:t xml:space="preserve">‘low-risk’ pregnancy care, including </w:t>
      </w:r>
      <w:r w:rsidRPr="001823ED">
        <w:t>‘midwifery led care’,</w:t>
      </w:r>
      <w:r w:rsidRPr="001823ED">
        <w:fldChar w:fldCharType="begin" w:fldLock="1"/>
      </w:r>
      <w:r w:rsidRPr="001823ED">
        <w:instrText>ADDIN CSL_CITATION {"citationItems":[{"id":"ITEM-1","itemData":{"DOI":"10.1017/CBO9781107415324.004","ISBN":"9788578110796","ISSN":"1098-6596","PMID":"25246403","abstract":"The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Antenatal care for uncomplicated pregnancies (CG62)","author":[{"dropping-particle":"","family":"National Institute for Health and Care Excellence","given":"","non-dropping-particle":"","parse-names":false,"suffix":""}],"container-title":"Clinical Guideline","id":"ITEM-1","issue":"March","issued":{"date-parts":[["2008"]]},"page":"1 - 55","title":"Antenatal care for uncomplicated pregnancies","type":"article-journal"},"uris":["http://www.mendeley.com/documents/?uuid=45ac3b34-603c-44ee-a443-6e514a5f15f4"]}],"mendeley":{"formattedCitation":"&lt;sup&gt;1&lt;/sup&gt;","plainTextFormattedCitation":"1","previouslyFormattedCitation":"&lt;sup&gt;1&lt;/sup&gt;"},"properties":{"noteIndex":0},"schema":"https://github.com/citation-style-language/schema/raw/master/csl-citation.json"}</w:instrText>
      </w:r>
      <w:r w:rsidRPr="001823ED">
        <w:fldChar w:fldCharType="separate"/>
      </w:r>
      <w:r w:rsidRPr="001823ED">
        <w:rPr>
          <w:noProof/>
          <w:vertAlign w:val="superscript"/>
        </w:rPr>
        <w:t>1</w:t>
      </w:r>
      <w:r w:rsidRPr="001823ED">
        <w:fldChar w:fldCharType="end"/>
      </w:r>
      <w:r w:rsidR="00047FCF" w:rsidRPr="001823ED">
        <w:t xml:space="preserve"> </w:t>
      </w:r>
      <w:r w:rsidRPr="001823ED">
        <w:t xml:space="preserve">as well as </w:t>
      </w:r>
      <w:r w:rsidR="00047FCF" w:rsidRPr="001823ED">
        <w:t>high-risk pregnancy care.</w:t>
      </w:r>
      <w:r w:rsidR="003F7175" w:rsidRPr="001823ED">
        <w:t xml:space="preserve"> High-risk women were recruited from the Liverpool Women’s Hospital Preterm Labour Prevention Clinic. Low-risk women were recruited from the regular antenatal care clinic at Liverpool Women’s Hospital; they planned to either give birth at Liverpool Women’s Hospital or with the hospital’s linked homebirth team.</w:t>
      </w:r>
    </w:p>
    <w:p w14:paraId="645075B8" w14:textId="52760D2A" w:rsidR="00CB5D98" w:rsidRPr="001823ED" w:rsidRDefault="00CB5D98" w:rsidP="009D21B5">
      <w:pPr>
        <w:widowControl w:val="0"/>
      </w:pPr>
    </w:p>
    <w:p w14:paraId="5971ABE5" w14:textId="5ACEE671" w:rsidR="00411C71" w:rsidRPr="001823ED" w:rsidRDefault="00741159" w:rsidP="009D21B5">
      <w:pPr>
        <w:widowControl w:val="0"/>
      </w:pPr>
      <w:r>
        <w:t>Low risk p</w:t>
      </w:r>
      <w:r w:rsidR="00361ED3" w:rsidRPr="001823ED">
        <w:t xml:space="preserve">articipants </w:t>
      </w:r>
      <w:r w:rsidR="00411C71" w:rsidRPr="001823ED">
        <w:t>were recruited as follows:</w:t>
      </w:r>
    </w:p>
    <w:p w14:paraId="3D3107F4" w14:textId="2A680532" w:rsidR="00047FCF" w:rsidRPr="001823ED" w:rsidRDefault="00411C71" w:rsidP="009D21B5">
      <w:pPr>
        <w:pStyle w:val="ListParagraph"/>
        <w:widowControl w:val="0"/>
        <w:numPr>
          <w:ilvl w:val="0"/>
          <w:numId w:val="21"/>
        </w:numPr>
        <w:spacing w:line="240" w:lineRule="auto"/>
        <w:ind w:left="426" w:hanging="426"/>
        <w:rPr>
          <w:rFonts w:asciiTheme="minorHAnsi" w:hAnsiTheme="minorHAnsi"/>
          <w:lang w:val="en-GB"/>
        </w:rPr>
      </w:pPr>
      <w:r w:rsidRPr="001823ED">
        <w:rPr>
          <w:rFonts w:asciiTheme="minorHAnsi" w:hAnsiTheme="minorHAnsi"/>
          <w:lang w:val="en-GB"/>
        </w:rPr>
        <w:t>Study clinicians used hospital electronic records to identify women who</w:t>
      </w:r>
      <w:r w:rsidR="00047FCF" w:rsidRPr="001823ED">
        <w:rPr>
          <w:rFonts w:asciiTheme="minorHAnsi" w:hAnsiTheme="minorHAnsi"/>
          <w:lang w:val="en-GB"/>
        </w:rPr>
        <w:t xml:space="preserve"> had booked</w:t>
      </w:r>
      <w:r w:rsidR="00361ED3" w:rsidRPr="001823ED">
        <w:rPr>
          <w:rFonts w:asciiTheme="minorHAnsi" w:hAnsiTheme="minorHAnsi"/>
          <w:lang w:val="en-GB"/>
        </w:rPr>
        <w:t xml:space="preserve"> for antenatal care</w:t>
      </w:r>
      <w:r w:rsidR="00B47ADE" w:rsidRPr="001823ED">
        <w:rPr>
          <w:rFonts w:asciiTheme="minorHAnsi" w:hAnsiTheme="minorHAnsi"/>
          <w:lang w:val="en-GB"/>
        </w:rPr>
        <w:fldChar w:fldCharType="begin" w:fldLock="1"/>
      </w:r>
      <w:r w:rsidR="00485E28" w:rsidRPr="001823ED">
        <w:rPr>
          <w:rFonts w:asciiTheme="minorHAnsi" w:hAnsiTheme="minorHAnsi"/>
          <w:lang w:val="en-GB"/>
        </w:rPr>
        <w:instrText>ADDIN CSL_CITATION {"citationItems":[{"id":"ITEM-1","itemData":{"DOI":"10.1017/CBO9781107415324.004","ISBN":"9788578110796","ISSN":"1098-6596","PMID":"25246403","abstract":"The recommendations in this guideline represent the view of NICE, arrived at after careful consideration of the evidence available. When exercising their judgement, professionals are expected to take this guideline fully into account, alongside the individual needs, preferences and values of their patients or service users. The application of the recommendations in this guideline are not mandatory and the guideline does not override the responsibility of healthcare professionals to make decisions appropriate to the circumstances of the individual patient, in consultation with the patient and/or their carer or guardian. Local commissioners and/or providers have a responsibility to enable the guideline to be applied when individual health professionals and their patients or service users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compliance with those duties. Antenatal care for uncomplicated pregnancies (CG62)","author":[{"dropping-particle":"","family":"National Institute for Health and Care Excellence","given":"","non-dropping-particle":"","parse-names":false,"suffix":""}],"container-title":"Clinical Guideline","id":"ITEM-1","issue":"March","issued":{"date-parts":[["2008"]]},"page":"1 - 55","title":"Antenatal care for uncomplicated pregnancies","type":"article-journal"},"uris":["http://www.mendeley.com/documents/?uuid=45ac3b34-603c-44ee-a443-6e514a5f15f4"]}],"mendeley":{"formattedCitation":"&lt;sup&gt;1&lt;/sup&gt;","plainTextFormattedCitation":"1","previouslyFormattedCitation":"&lt;sup&gt;1&lt;/sup&gt;"},"properties":{"noteIndex":0},"schema":"https://github.com/citation-style-language/schema/raw/master/csl-citation.json"}</w:instrText>
      </w:r>
      <w:r w:rsidR="00B47ADE" w:rsidRPr="001823ED">
        <w:rPr>
          <w:rFonts w:asciiTheme="minorHAnsi" w:hAnsiTheme="minorHAnsi"/>
          <w:lang w:val="en-GB"/>
        </w:rPr>
        <w:fldChar w:fldCharType="separate"/>
      </w:r>
      <w:r w:rsidR="00403031" w:rsidRPr="001823ED">
        <w:rPr>
          <w:rFonts w:asciiTheme="minorHAnsi" w:hAnsiTheme="minorHAnsi"/>
          <w:noProof/>
          <w:vertAlign w:val="superscript"/>
          <w:lang w:val="en-GB"/>
        </w:rPr>
        <w:t>1</w:t>
      </w:r>
      <w:r w:rsidR="00B47ADE" w:rsidRPr="001823ED">
        <w:rPr>
          <w:rFonts w:asciiTheme="minorHAnsi" w:hAnsiTheme="minorHAnsi"/>
          <w:lang w:val="en-GB"/>
        </w:rPr>
        <w:fldChar w:fldCharType="end"/>
      </w:r>
      <w:r w:rsidR="00361ED3" w:rsidRPr="001823ED">
        <w:rPr>
          <w:rFonts w:asciiTheme="minorHAnsi" w:hAnsiTheme="minorHAnsi"/>
          <w:lang w:val="en-GB"/>
        </w:rPr>
        <w:t xml:space="preserve"> </w:t>
      </w:r>
      <w:r w:rsidR="00047FCF" w:rsidRPr="001823ED">
        <w:rPr>
          <w:rFonts w:asciiTheme="minorHAnsi" w:hAnsiTheme="minorHAnsi"/>
          <w:lang w:val="en-GB"/>
        </w:rPr>
        <w:t xml:space="preserve">at </w:t>
      </w:r>
      <w:r w:rsidR="00B47ADE" w:rsidRPr="001823ED">
        <w:rPr>
          <w:rFonts w:asciiTheme="minorHAnsi" w:hAnsiTheme="minorHAnsi"/>
          <w:lang w:val="en-GB"/>
        </w:rPr>
        <w:t>Liverpool Women’s Hospital</w:t>
      </w:r>
      <w:r w:rsidRPr="001823ED">
        <w:rPr>
          <w:rFonts w:asciiTheme="minorHAnsi" w:hAnsiTheme="minorHAnsi"/>
          <w:lang w:val="en-GB"/>
        </w:rPr>
        <w:t xml:space="preserve"> </w:t>
      </w:r>
      <w:r w:rsidR="008775A0" w:rsidRPr="001823ED">
        <w:rPr>
          <w:rFonts w:asciiTheme="minorHAnsi" w:hAnsiTheme="minorHAnsi"/>
          <w:lang w:val="en-GB"/>
        </w:rPr>
        <w:t>and fitted</w:t>
      </w:r>
      <w:r w:rsidR="00B47ADE" w:rsidRPr="001823ED">
        <w:rPr>
          <w:rFonts w:asciiTheme="minorHAnsi" w:hAnsiTheme="minorHAnsi"/>
          <w:lang w:val="en-GB"/>
        </w:rPr>
        <w:t xml:space="preserve"> the eligibilit</w:t>
      </w:r>
      <w:r w:rsidR="00047FCF" w:rsidRPr="001823ED">
        <w:rPr>
          <w:rFonts w:asciiTheme="minorHAnsi" w:hAnsiTheme="minorHAnsi"/>
          <w:lang w:val="en-GB"/>
        </w:rPr>
        <w:t xml:space="preserve">y criteria as described above. </w:t>
      </w:r>
      <w:r w:rsidRPr="001823ED">
        <w:rPr>
          <w:rFonts w:asciiTheme="minorHAnsi" w:hAnsiTheme="minorHAnsi"/>
          <w:lang w:val="en-GB"/>
        </w:rPr>
        <w:t xml:space="preserve">Study </w:t>
      </w:r>
      <w:r w:rsidR="00B47ADE" w:rsidRPr="001823ED">
        <w:rPr>
          <w:rFonts w:asciiTheme="minorHAnsi" w:hAnsiTheme="minorHAnsi"/>
          <w:lang w:val="en-GB"/>
        </w:rPr>
        <w:t xml:space="preserve">staff </w:t>
      </w:r>
      <w:r w:rsidR="008775A0" w:rsidRPr="001823ED">
        <w:rPr>
          <w:rFonts w:asciiTheme="minorHAnsi" w:hAnsiTheme="minorHAnsi"/>
          <w:lang w:val="en-GB"/>
        </w:rPr>
        <w:t xml:space="preserve">then phoned </w:t>
      </w:r>
      <w:r w:rsidRPr="001823ED">
        <w:rPr>
          <w:rFonts w:asciiTheme="minorHAnsi" w:hAnsiTheme="minorHAnsi"/>
          <w:lang w:val="en-GB"/>
        </w:rPr>
        <w:t xml:space="preserve">or sent a text message to potential participants </w:t>
      </w:r>
      <w:r w:rsidR="00047FCF" w:rsidRPr="001823ED">
        <w:rPr>
          <w:rFonts w:asciiTheme="minorHAnsi" w:hAnsiTheme="minorHAnsi"/>
          <w:lang w:val="en-GB"/>
        </w:rPr>
        <w:t>between the early pregnancy dating</w:t>
      </w:r>
      <w:r w:rsidR="00B47ADE" w:rsidRPr="001823ED">
        <w:rPr>
          <w:rFonts w:asciiTheme="minorHAnsi" w:hAnsiTheme="minorHAnsi"/>
          <w:lang w:val="en-GB"/>
        </w:rPr>
        <w:t xml:space="preserve"> scan (described above) and 15</w:t>
      </w:r>
      <w:r w:rsidR="00B47ADE" w:rsidRPr="001823ED">
        <w:rPr>
          <w:rFonts w:asciiTheme="minorHAnsi" w:hAnsiTheme="minorHAnsi"/>
          <w:vertAlign w:val="superscript"/>
          <w:lang w:val="en-GB"/>
        </w:rPr>
        <w:t>+0</w:t>
      </w:r>
      <w:r w:rsidR="00B47ADE" w:rsidRPr="001823ED">
        <w:rPr>
          <w:rFonts w:asciiTheme="minorHAnsi" w:hAnsiTheme="minorHAnsi"/>
          <w:lang w:val="en-GB"/>
        </w:rPr>
        <w:t xml:space="preserve"> weeks gestation</w:t>
      </w:r>
      <w:r w:rsidR="008775A0" w:rsidRPr="001823ED">
        <w:rPr>
          <w:rFonts w:asciiTheme="minorHAnsi" w:hAnsiTheme="minorHAnsi"/>
          <w:lang w:val="en-GB"/>
        </w:rPr>
        <w:t xml:space="preserve"> to offer them study participation</w:t>
      </w:r>
      <w:r w:rsidR="00B47ADE" w:rsidRPr="001823ED">
        <w:rPr>
          <w:rFonts w:asciiTheme="minorHAnsi" w:hAnsiTheme="minorHAnsi"/>
          <w:lang w:val="en-GB"/>
        </w:rPr>
        <w:t>.</w:t>
      </w:r>
      <w:r w:rsidRPr="001823ED">
        <w:rPr>
          <w:rFonts w:asciiTheme="minorHAnsi" w:hAnsiTheme="minorHAnsi"/>
          <w:lang w:val="en-GB"/>
        </w:rPr>
        <w:t xml:space="preserve"> Each potential participant was only contacted once, </w:t>
      </w:r>
      <w:r w:rsidR="00047FCF" w:rsidRPr="001823ED">
        <w:rPr>
          <w:rFonts w:asciiTheme="minorHAnsi" w:hAnsiTheme="minorHAnsi"/>
          <w:lang w:val="en-GB"/>
        </w:rPr>
        <w:t xml:space="preserve">and a voicemail was </w:t>
      </w:r>
      <w:r w:rsidRPr="001823ED">
        <w:rPr>
          <w:rFonts w:asciiTheme="minorHAnsi" w:hAnsiTheme="minorHAnsi"/>
          <w:lang w:val="en-GB"/>
        </w:rPr>
        <w:t xml:space="preserve">left </w:t>
      </w:r>
      <w:r w:rsidR="00047FCF" w:rsidRPr="001823ED">
        <w:rPr>
          <w:rFonts w:asciiTheme="minorHAnsi" w:hAnsiTheme="minorHAnsi"/>
          <w:lang w:val="en-GB"/>
        </w:rPr>
        <w:t xml:space="preserve">if the phone was not </w:t>
      </w:r>
      <w:proofErr w:type="gramStart"/>
      <w:r w:rsidR="00047FCF" w:rsidRPr="001823ED">
        <w:rPr>
          <w:rFonts w:asciiTheme="minorHAnsi" w:hAnsiTheme="minorHAnsi"/>
          <w:lang w:val="en-GB"/>
        </w:rPr>
        <w:t>answered</w:t>
      </w:r>
      <w:proofErr w:type="gramEnd"/>
      <w:r w:rsidR="008775A0" w:rsidRPr="001823ED">
        <w:rPr>
          <w:rFonts w:asciiTheme="minorHAnsi" w:hAnsiTheme="minorHAnsi"/>
          <w:lang w:val="en-GB"/>
        </w:rPr>
        <w:t xml:space="preserve"> and voicemail was available</w:t>
      </w:r>
      <w:r w:rsidRPr="001823ED">
        <w:rPr>
          <w:rFonts w:asciiTheme="minorHAnsi" w:hAnsiTheme="minorHAnsi"/>
          <w:lang w:val="en-GB"/>
        </w:rPr>
        <w:t xml:space="preserve">. </w:t>
      </w:r>
    </w:p>
    <w:p w14:paraId="433E71B3" w14:textId="517BD3BC" w:rsidR="0027708A" w:rsidRPr="001823ED" w:rsidRDefault="008775A0" w:rsidP="009D21B5">
      <w:pPr>
        <w:pStyle w:val="ListParagraph"/>
        <w:widowControl w:val="0"/>
        <w:numPr>
          <w:ilvl w:val="0"/>
          <w:numId w:val="21"/>
        </w:numPr>
        <w:spacing w:line="240" w:lineRule="auto"/>
        <w:ind w:left="426" w:hanging="426"/>
        <w:rPr>
          <w:rFonts w:asciiTheme="minorHAnsi" w:hAnsiTheme="minorHAnsi"/>
          <w:lang w:val="en-GB"/>
        </w:rPr>
      </w:pPr>
      <w:r w:rsidRPr="001823ED">
        <w:rPr>
          <w:rFonts w:asciiTheme="minorHAnsi" w:hAnsiTheme="minorHAnsi"/>
          <w:lang w:val="en-GB"/>
        </w:rPr>
        <w:t>L</w:t>
      </w:r>
      <w:r w:rsidR="0027708A" w:rsidRPr="001823ED">
        <w:rPr>
          <w:rFonts w:asciiTheme="minorHAnsi" w:hAnsiTheme="minorHAnsi"/>
          <w:lang w:val="en-GB"/>
        </w:rPr>
        <w:t xml:space="preserve">ow-risk </w:t>
      </w:r>
      <w:r w:rsidR="00047FCF" w:rsidRPr="001823ED">
        <w:rPr>
          <w:rFonts w:asciiTheme="minorHAnsi" w:hAnsiTheme="minorHAnsi"/>
          <w:lang w:val="en-GB"/>
        </w:rPr>
        <w:t xml:space="preserve">women were </w:t>
      </w:r>
      <w:r w:rsidRPr="001823ED">
        <w:rPr>
          <w:rFonts w:asciiTheme="minorHAnsi" w:hAnsiTheme="minorHAnsi"/>
          <w:lang w:val="en-GB"/>
        </w:rPr>
        <w:t xml:space="preserve">also </w:t>
      </w:r>
      <w:r w:rsidR="00047FCF" w:rsidRPr="001823ED">
        <w:rPr>
          <w:rFonts w:asciiTheme="minorHAnsi" w:hAnsiTheme="minorHAnsi"/>
          <w:lang w:val="en-GB"/>
        </w:rPr>
        <w:t xml:space="preserve">approached by study leaflet (distributed by community midwives) or social media (distributed by research staff or the Liverpool Women’s Hospital communications team). </w:t>
      </w:r>
      <w:r w:rsidR="0027708A" w:rsidRPr="001823ED">
        <w:rPr>
          <w:rFonts w:asciiTheme="minorHAnsi" w:hAnsiTheme="minorHAnsi"/>
          <w:lang w:val="en-GB"/>
        </w:rPr>
        <w:t>Potential p</w:t>
      </w:r>
      <w:r w:rsidRPr="001823ED">
        <w:rPr>
          <w:rFonts w:asciiTheme="minorHAnsi" w:hAnsiTheme="minorHAnsi"/>
          <w:lang w:val="en-GB"/>
        </w:rPr>
        <w:t xml:space="preserve">articipants were invited to </w:t>
      </w:r>
      <w:r w:rsidR="0027708A" w:rsidRPr="001823ED">
        <w:rPr>
          <w:rFonts w:asciiTheme="minorHAnsi" w:hAnsiTheme="minorHAnsi"/>
          <w:lang w:val="en-GB"/>
        </w:rPr>
        <w:t xml:space="preserve">phone or send a text </w:t>
      </w:r>
      <w:r w:rsidRPr="001823ED">
        <w:rPr>
          <w:rFonts w:asciiTheme="minorHAnsi" w:hAnsiTheme="minorHAnsi"/>
          <w:lang w:val="en-GB"/>
        </w:rPr>
        <w:t xml:space="preserve">message to a dedicated telephone </w:t>
      </w:r>
      <w:r w:rsidR="0027708A" w:rsidRPr="001823ED">
        <w:rPr>
          <w:rFonts w:asciiTheme="minorHAnsi" w:hAnsiTheme="minorHAnsi"/>
          <w:lang w:val="en-GB"/>
        </w:rPr>
        <w:t>number</w:t>
      </w:r>
      <w:r w:rsidRPr="001823ED">
        <w:rPr>
          <w:rFonts w:asciiTheme="minorHAnsi" w:hAnsiTheme="minorHAnsi"/>
          <w:lang w:val="en-GB"/>
        </w:rPr>
        <w:t>.</w:t>
      </w:r>
    </w:p>
    <w:p w14:paraId="58F7F490" w14:textId="2DF77FB5" w:rsidR="00411C71" w:rsidRDefault="008775A0" w:rsidP="009D21B5">
      <w:pPr>
        <w:pStyle w:val="ListParagraph"/>
        <w:widowControl w:val="0"/>
        <w:numPr>
          <w:ilvl w:val="0"/>
          <w:numId w:val="21"/>
        </w:numPr>
        <w:spacing w:line="240" w:lineRule="auto"/>
        <w:ind w:left="426" w:hanging="426"/>
        <w:rPr>
          <w:rFonts w:asciiTheme="minorHAnsi" w:hAnsiTheme="minorHAnsi"/>
          <w:lang w:val="en-GB"/>
        </w:rPr>
      </w:pPr>
      <w:r w:rsidRPr="001823ED">
        <w:rPr>
          <w:rFonts w:asciiTheme="minorHAnsi" w:hAnsiTheme="minorHAnsi"/>
          <w:lang w:val="en-GB"/>
        </w:rPr>
        <w:t>Study staff spoke to p</w:t>
      </w:r>
      <w:r w:rsidR="00411C71" w:rsidRPr="001823ED">
        <w:rPr>
          <w:rFonts w:asciiTheme="minorHAnsi" w:hAnsiTheme="minorHAnsi"/>
          <w:lang w:val="en-GB"/>
        </w:rPr>
        <w:t xml:space="preserve">otential participants </w:t>
      </w:r>
      <w:r w:rsidRPr="001823ED">
        <w:rPr>
          <w:rFonts w:asciiTheme="minorHAnsi" w:hAnsiTheme="minorHAnsi"/>
          <w:lang w:val="en-GB"/>
        </w:rPr>
        <w:t xml:space="preserve">on the telephone. During this conversation, they confirmed eligibility and explained the </w:t>
      </w:r>
      <w:r w:rsidR="00411C71" w:rsidRPr="001823ED">
        <w:rPr>
          <w:rFonts w:asciiTheme="minorHAnsi" w:hAnsiTheme="minorHAnsi"/>
          <w:lang w:val="en-GB"/>
        </w:rPr>
        <w:t xml:space="preserve">study, including the rationale and need for </w:t>
      </w:r>
      <w:r w:rsidRPr="001823ED">
        <w:rPr>
          <w:rFonts w:asciiTheme="minorHAnsi" w:hAnsiTheme="minorHAnsi"/>
          <w:lang w:val="en-GB"/>
        </w:rPr>
        <w:t xml:space="preserve">a </w:t>
      </w:r>
      <w:r w:rsidR="00411C71" w:rsidRPr="001823ED">
        <w:rPr>
          <w:rFonts w:asciiTheme="minorHAnsi" w:hAnsiTheme="minorHAnsi"/>
          <w:lang w:val="en-GB"/>
        </w:rPr>
        <w:t>speculu</w:t>
      </w:r>
      <w:r w:rsidRPr="001823ED">
        <w:rPr>
          <w:rFonts w:asciiTheme="minorHAnsi" w:hAnsiTheme="minorHAnsi"/>
          <w:lang w:val="en-GB"/>
        </w:rPr>
        <w:t>m examination with vaginal swabbing</w:t>
      </w:r>
      <w:r w:rsidR="00411C71" w:rsidRPr="001823ED">
        <w:rPr>
          <w:rFonts w:asciiTheme="minorHAnsi" w:hAnsiTheme="minorHAnsi"/>
          <w:lang w:val="en-GB"/>
        </w:rPr>
        <w:t xml:space="preserve"> and </w:t>
      </w:r>
      <w:r w:rsidRPr="001823ED">
        <w:rPr>
          <w:rFonts w:asciiTheme="minorHAnsi" w:hAnsiTheme="minorHAnsi"/>
          <w:lang w:val="en-GB"/>
        </w:rPr>
        <w:t xml:space="preserve">a </w:t>
      </w:r>
      <w:r w:rsidR="00411C71" w:rsidRPr="001823ED">
        <w:rPr>
          <w:rFonts w:asciiTheme="minorHAnsi" w:hAnsiTheme="minorHAnsi"/>
          <w:lang w:val="en-GB"/>
        </w:rPr>
        <w:t>cervical length scan. Participants were offered a 3D ultrasound scan of the pregnancy at each study visit.</w:t>
      </w:r>
    </w:p>
    <w:p w14:paraId="0AEB169A" w14:textId="304432D7" w:rsidR="00CA3E53" w:rsidRDefault="00CA3E53" w:rsidP="00CA3E53">
      <w:pPr>
        <w:widowControl w:val="0"/>
      </w:pPr>
    </w:p>
    <w:p w14:paraId="1539BCC5" w14:textId="77777777" w:rsidR="00C403F8" w:rsidRDefault="00CA3E53" w:rsidP="00CA3E53">
      <w:r>
        <w:t xml:space="preserve">High risk participants </w:t>
      </w:r>
      <w:r w:rsidRPr="0039056D">
        <w:t xml:space="preserve">were </w:t>
      </w:r>
      <w:r w:rsidR="00C403F8">
        <w:t>recruited as follows:</w:t>
      </w:r>
    </w:p>
    <w:p w14:paraId="2F4C5617" w14:textId="1BCEC6B0" w:rsidR="006F1051" w:rsidRDefault="00723B27" w:rsidP="008C30B2">
      <w:pPr>
        <w:pStyle w:val="ListParagraph"/>
        <w:numPr>
          <w:ilvl w:val="0"/>
          <w:numId w:val="29"/>
        </w:numPr>
        <w:spacing w:line="240" w:lineRule="auto"/>
        <w:ind w:left="426" w:hanging="426"/>
      </w:pPr>
      <w:r>
        <w:t xml:space="preserve">Women </w:t>
      </w:r>
      <w:r w:rsidR="006F1051">
        <w:t xml:space="preserve">with </w:t>
      </w:r>
      <w:r w:rsidR="00E15248" w:rsidRPr="00E15248">
        <w:t>at least one sPTB</w:t>
      </w:r>
      <w:r w:rsidR="006F1051">
        <w:t xml:space="preserve">, </w:t>
      </w:r>
      <w:r w:rsidR="00E15248" w:rsidRPr="00E15248">
        <w:t>PPROM, or spontaneous late miscarriage at 16</w:t>
      </w:r>
      <w:r w:rsidR="00E15248" w:rsidRPr="0007588C">
        <w:rPr>
          <w:vertAlign w:val="superscript"/>
        </w:rPr>
        <w:t>+0</w:t>
      </w:r>
      <w:r w:rsidR="00E15248" w:rsidRPr="00E15248">
        <w:t>-33</w:t>
      </w:r>
      <w:r w:rsidR="00E15248" w:rsidRPr="0007588C">
        <w:rPr>
          <w:vertAlign w:val="superscript"/>
        </w:rPr>
        <w:t>+6</w:t>
      </w:r>
      <w:r w:rsidR="00E15248" w:rsidRPr="00E15248">
        <w:t xml:space="preserve"> weeks gestation</w:t>
      </w:r>
      <w:r w:rsidR="006F1051">
        <w:t xml:space="preserve"> were routinely referred to the hospital’s Preterm Birth prevention </w:t>
      </w:r>
      <w:r w:rsidR="006909A9">
        <w:t>C</w:t>
      </w:r>
      <w:r w:rsidR="006F1051">
        <w:t xml:space="preserve">linic </w:t>
      </w:r>
      <w:r w:rsidR="006A761C">
        <w:t xml:space="preserve">by their booking midwife. This was part of </w:t>
      </w:r>
      <w:r w:rsidR="006909A9">
        <w:t xml:space="preserve">standard antenatal care for all eligible patients. </w:t>
      </w:r>
    </w:p>
    <w:p w14:paraId="7EF83689" w14:textId="69CD1A0D" w:rsidR="006909A9" w:rsidRDefault="006909A9" w:rsidP="008C30B2">
      <w:pPr>
        <w:pStyle w:val="ListParagraph"/>
        <w:numPr>
          <w:ilvl w:val="0"/>
          <w:numId w:val="29"/>
        </w:numPr>
        <w:spacing w:line="240" w:lineRule="auto"/>
        <w:ind w:left="426" w:hanging="426"/>
      </w:pPr>
      <w:r>
        <w:t>Study clinicians reviewed the patients’ clinical notes to confirm eligibi</w:t>
      </w:r>
      <w:r w:rsidR="004843E8">
        <w:t>li</w:t>
      </w:r>
      <w:r>
        <w:t xml:space="preserve">ty (primarily not using preterm birth prevention therapy at the time of study </w:t>
      </w:r>
      <w:r w:rsidR="004843E8">
        <w:t>recruitment</w:t>
      </w:r>
      <w:r>
        <w:t>)</w:t>
      </w:r>
      <w:r w:rsidR="004843E8">
        <w:t>.</w:t>
      </w:r>
    </w:p>
    <w:p w14:paraId="7C6D4647" w14:textId="292616EC" w:rsidR="004843E8" w:rsidRDefault="003B3128" w:rsidP="008C30B2">
      <w:pPr>
        <w:pStyle w:val="ListParagraph"/>
        <w:numPr>
          <w:ilvl w:val="0"/>
          <w:numId w:val="29"/>
        </w:numPr>
        <w:spacing w:line="240" w:lineRule="auto"/>
        <w:ind w:left="426" w:hanging="426"/>
      </w:pPr>
      <w:r>
        <w:t xml:space="preserve">Study clinicians then approached potential participants </w:t>
      </w:r>
      <w:r w:rsidR="00CE623C">
        <w:t>during their preterm birth prevention clinic visit</w:t>
      </w:r>
      <w:r w:rsidR="00CB02B9">
        <w:t>s</w:t>
      </w:r>
      <w:r w:rsidR="00CE623C">
        <w:t xml:space="preserve"> to offer study involvement</w:t>
      </w:r>
      <w:r w:rsidR="00521565">
        <w:t xml:space="preserve">. </w:t>
      </w:r>
    </w:p>
    <w:p w14:paraId="435F38CD" w14:textId="12CDBD78" w:rsidR="00CA3E53" w:rsidRPr="00CA3E53" w:rsidRDefault="00CA3E53" w:rsidP="0007588C">
      <w:pPr>
        <w:widowControl w:val="0"/>
      </w:pPr>
    </w:p>
    <w:p w14:paraId="5B6D16D5" w14:textId="4F8B25D9" w:rsidR="00411C71" w:rsidRPr="001823ED" w:rsidRDefault="00411C71" w:rsidP="009D21B5">
      <w:pPr>
        <w:widowControl w:val="0"/>
        <w:rPr>
          <w:noProof/>
          <w:vertAlign w:val="superscript"/>
        </w:rPr>
      </w:pPr>
      <w:r w:rsidRPr="001823ED">
        <w:t>The</w:t>
      </w:r>
      <w:r w:rsidR="008775A0" w:rsidRPr="001823ED">
        <w:t>se</w:t>
      </w:r>
      <w:r w:rsidRPr="001823ED">
        <w:t xml:space="preserve"> </w:t>
      </w:r>
      <w:r w:rsidR="008775A0" w:rsidRPr="001823ED">
        <w:t>procedures</w:t>
      </w:r>
      <w:r w:rsidR="00655286">
        <w:t xml:space="preserve"> were designed with input from the</w:t>
      </w:r>
      <w:r w:rsidR="008775A0" w:rsidRPr="001823ED">
        <w:t xml:space="preserve"> Liverpool Women’s Hospital patient and public involvement group</w:t>
      </w:r>
      <w:r w:rsidR="00655286">
        <w:t xml:space="preserve"> (see below</w:t>
      </w:r>
      <w:proofErr w:type="gramStart"/>
      <w:r w:rsidR="00655286">
        <w:t>)</w:t>
      </w:r>
      <w:r w:rsidR="008775A0" w:rsidRPr="001823ED">
        <w:t>, and</w:t>
      </w:r>
      <w:proofErr w:type="gramEnd"/>
      <w:r w:rsidR="008775A0" w:rsidRPr="001823ED">
        <w:t xml:space="preserve"> were </w:t>
      </w:r>
      <w:r w:rsidRPr="001823ED">
        <w:t>approved by the ethics committee. The use of electronic case notes for particip</w:t>
      </w:r>
      <w:r w:rsidR="00655286">
        <w:t xml:space="preserve">ant identification predated </w:t>
      </w:r>
      <w:r w:rsidRPr="001823ED">
        <w:t>changes to UK general data protection legislation.</w:t>
      </w:r>
      <w:r w:rsidR="003A6DFB" w:rsidRPr="001823ED">
        <w:rPr>
          <w:noProof/>
          <w:vertAlign w:val="superscript"/>
        </w:rPr>
        <w:fldChar w:fldCharType="begin" w:fldLock="1"/>
      </w:r>
      <w:r w:rsidR="003335F9">
        <w:rPr>
          <w:noProof/>
          <w:vertAlign w:val="superscript"/>
        </w:rPr>
        <w:instrText>ADDIN CSL_CITATION {"citationItems":[{"id":"ITEM-1","itemData":{"URL":"https://www.gov.uk/government/publications/guide-to-the-general-data-protection-regulation","accessed":{"date-parts":[["2020","6","17"]]},"author":[{"dropping-particle":"","family":"UK Government","given":"","non-dropping-particle":"","parse-names":false,"suffix":""}],"id":"ITEM-1","issued":{"date-parts":[["2018"]]},"title":"UK General Data Protection Regulation","type":"webpage"},"uris":["http://www.mendeley.com/documents/?uuid=a6ee6bcf-303f-4284-90b6-1fec627a47ad"]}],"mendeley":{"formattedCitation":"&lt;sup&gt;10&lt;/sup&gt;","plainTextFormattedCitation":"10","previouslyFormattedCitation":"&lt;sup&gt;10&lt;/sup&gt;"},"properties":{"noteIndex":0},"schema":"https://github.com/citation-style-language/schema/raw/master/csl-citation.json"}</w:instrText>
      </w:r>
      <w:r w:rsidR="003A6DFB" w:rsidRPr="001823ED">
        <w:rPr>
          <w:noProof/>
          <w:vertAlign w:val="superscript"/>
        </w:rPr>
        <w:fldChar w:fldCharType="separate"/>
      </w:r>
      <w:r w:rsidR="00D213DC" w:rsidRPr="00D213DC">
        <w:rPr>
          <w:noProof/>
          <w:vertAlign w:val="superscript"/>
        </w:rPr>
        <w:t>10</w:t>
      </w:r>
      <w:r w:rsidR="003A6DFB" w:rsidRPr="001823ED">
        <w:rPr>
          <w:noProof/>
          <w:vertAlign w:val="superscript"/>
        </w:rPr>
        <w:fldChar w:fldCharType="end"/>
      </w:r>
    </w:p>
    <w:p w14:paraId="210C500B" w14:textId="77777777" w:rsidR="0027708A" w:rsidRPr="001823ED" w:rsidRDefault="0027708A" w:rsidP="009D21B5">
      <w:pPr>
        <w:pStyle w:val="Heading3"/>
        <w:keepNext w:val="0"/>
        <w:keepLines w:val="0"/>
        <w:widowControl w:val="0"/>
        <w:spacing w:before="0" w:line="240" w:lineRule="auto"/>
        <w:rPr>
          <w:rFonts w:asciiTheme="minorHAnsi" w:hAnsiTheme="minorHAnsi"/>
          <w:noProof/>
          <w:color w:val="auto"/>
          <w:szCs w:val="22"/>
        </w:rPr>
      </w:pPr>
    </w:p>
    <w:p w14:paraId="22A7F357" w14:textId="37467AD2" w:rsidR="0007421A" w:rsidRPr="001823ED" w:rsidRDefault="00492ACD" w:rsidP="009D21B5">
      <w:pPr>
        <w:pStyle w:val="Heading2"/>
        <w:keepNext w:val="0"/>
        <w:keepLines w:val="0"/>
        <w:widowControl w:val="0"/>
        <w:rPr>
          <w:noProof/>
        </w:rPr>
      </w:pPr>
      <w:bookmarkStart w:id="10" w:name="_Toc69722983"/>
      <w:r w:rsidRPr="001823ED">
        <w:rPr>
          <w:noProof/>
        </w:rPr>
        <w:t>Clinical procedures</w:t>
      </w:r>
      <w:bookmarkEnd w:id="10"/>
    </w:p>
    <w:p w14:paraId="4B189D46" w14:textId="21656B4C" w:rsidR="00C24452" w:rsidRPr="001823ED" w:rsidRDefault="00C24452" w:rsidP="009D21B5">
      <w:pPr>
        <w:widowControl w:val="0"/>
      </w:pPr>
      <w:r w:rsidRPr="001823ED">
        <w:t xml:space="preserve">Study visits of high-risk women were timed to coincide with the participants’ scheduled visits to the </w:t>
      </w:r>
      <w:r w:rsidRPr="001823ED">
        <w:lastRenderedPageBreak/>
        <w:t xml:space="preserve">Liverpool Women’s Hospital Preterm Labour Prevention </w:t>
      </w:r>
      <w:proofErr w:type="gramStart"/>
      <w:r w:rsidRPr="001823ED">
        <w:t>Clinic, and</w:t>
      </w:r>
      <w:proofErr w:type="gramEnd"/>
      <w:r w:rsidRPr="001823ED">
        <w:t xml:space="preserve"> took place at approximately 16 weeks (15</w:t>
      </w:r>
      <w:r w:rsidRPr="001823ED">
        <w:rPr>
          <w:vertAlign w:val="superscript"/>
        </w:rPr>
        <w:t>+1</w:t>
      </w:r>
      <w:r w:rsidRPr="001823ED">
        <w:t>-18</w:t>
      </w:r>
      <w:r w:rsidRPr="001823ED">
        <w:rPr>
          <w:vertAlign w:val="superscript"/>
        </w:rPr>
        <w:t>+6</w:t>
      </w:r>
      <w:r w:rsidR="003F7175" w:rsidRPr="001823ED">
        <w:t xml:space="preserve"> weeks) and </w:t>
      </w:r>
      <w:r w:rsidRPr="001823ED">
        <w:t>20 weeks (19</w:t>
      </w:r>
      <w:r w:rsidRPr="001823ED">
        <w:rPr>
          <w:vertAlign w:val="superscript"/>
        </w:rPr>
        <w:t>+0</w:t>
      </w:r>
      <w:r w:rsidRPr="001823ED">
        <w:t>-23</w:t>
      </w:r>
      <w:r w:rsidRPr="001823ED">
        <w:rPr>
          <w:vertAlign w:val="superscript"/>
        </w:rPr>
        <w:t>+0</w:t>
      </w:r>
      <w:r w:rsidRPr="001823ED">
        <w:t xml:space="preserve">) gestation. </w:t>
      </w:r>
      <w:r w:rsidR="00356AB3" w:rsidRPr="001823ED">
        <w:t>L</w:t>
      </w:r>
      <w:r w:rsidRPr="001823ED">
        <w:t xml:space="preserve">ow-risk women </w:t>
      </w:r>
      <w:r w:rsidR="00356AB3" w:rsidRPr="001823ED">
        <w:t xml:space="preserve">also had </w:t>
      </w:r>
      <w:r w:rsidRPr="001823ED">
        <w:t>sch</w:t>
      </w:r>
      <w:r w:rsidR="008775A0" w:rsidRPr="001823ED">
        <w:t xml:space="preserve">eduled </w:t>
      </w:r>
      <w:r w:rsidR="00356AB3" w:rsidRPr="001823ED">
        <w:t xml:space="preserve">study visits </w:t>
      </w:r>
      <w:r w:rsidR="008775A0" w:rsidRPr="001823ED">
        <w:t xml:space="preserve">at </w:t>
      </w:r>
      <w:r w:rsidRPr="001823ED">
        <w:t>approximately 16 weeks (15</w:t>
      </w:r>
      <w:r w:rsidRPr="001823ED">
        <w:rPr>
          <w:vertAlign w:val="superscript"/>
        </w:rPr>
        <w:t>+1</w:t>
      </w:r>
      <w:r w:rsidRPr="001823ED">
        <w:t>-18</w:t>
      </w:r>
      <w:r w:rsidRPr="001823ED">
        <w:rPr>
          <w:vertAlign w:val="superscript"/>
        </w:rPr>
        <w:t>+6</w:t>
      </w:r>
      <w:r w:rsidR="003F7175" w:rsidRPr="001823ED">
        <w:t xml:space="preserve"> weeks) and </w:t>
      </w:r>
      <w:r w:rsidRPr="001823ED">
        <w:t>20 weeks (19</w:t>
      </w:r>
      <w:r w:rsidRPr="001823ED">
        <w:rPr>
          <w:vertAlign w:val="superscript"/>
        </w:rPr>
        <w:t>+0</w:t>
      </w:r>
      <w:r w:rsidRPr="001823ED">
        <w:t>-23</w:t>
      </w:r>
      <w:r w:rsidRPr="001823ED">
        <w:rPr>
          <w:vertAlign w:val="superscript"/>
        </w:rPr>
        <w:t>+0</w:t>
      </w:r>
      <w:r w:rsidRPr="001823ED">
        <w:t xml:space="preserve"> weeks)</w:t>
      </w:r>
      <w:r w:rsidR="00356AB3" w:rsidRPr="001823ED">
        <w:t xml:space="preserve"> gestation</w:t>
      </w:r>
      <w:r w:rsidR="003F7175" w:rsidRPr="00A97514">
        <w:t>.</w:t>
      </w:r>
      <w:r w:rsidR="00356AB3" w:rsidRPr="00CE71FF">
        <w:t xml:space="preserve"> </w:t>
      </w:r>
      <w:r w:rsidR="0007588C">
        <w:t xml:space="preserve">In both </w:t>
      </w:r>
      <w:proofErr w:type="gramStart"/>
      <w:r w:rsidR="0007588C">
        <w:t>cohort</w:t>
      </w:r>
      <w:proofErr w:type="gramEnd"/>
      <w:r w:rsidR="0007588C">
        <w:t>, the second study visit was performed a minimum of two weeks after the first study visit. P</w:t>
      </w:r>
      <w:r w:rsidR="00356AB3" w:rsidRPr="00A97514">
        <w:t xml:space="preserve">articipants who were </w:t>
      </w:r>
      <w:r w:rsidR="00356AB3" w:rsidRPr="00024BC7">
        <w:t>recruited after 19</w:t>
      </w:r>
      <w:r w:rsidR="00356AB3" w:rsidRPr="00024BC7">
        <w:rPr>
          <w:vertAlign w:val="superscript"/>
        </w:rPr>
        <w:t>+0</w:t>
      </w:r>
      <w:r w:rsidR="00356AB3" w:rsidRPr="00024BC7">
        <w:t xml:space="preserve"> weeks gestation only had a single study visit</w:t>
      </w:r>
      <w:r w:rsidR="00356AB3" w:rsidRPr="001823ED">
        <w:t>.</w:t>
      </w:r>
      <w:r w:rsidR="00024BC7">
        <w:t xml:space="preserve"> </w:t>
      </w:r>
    </w:p>
    <w:p w14:paraId="3E8143EE" w14:textId="77777777" w:rsidR="00C24452" w:rsidRPr="001823ED" w:rsidRDefault="00C24452" w:rsidP="009D21B5">
      <w:pPr>
        <w:widowControl w:val="0"/>
      </w:pPr>
    </w:p>
    <w:p w14:paraId="507815BD" w14:textId="4DACF9A3" w:rsidR="00492ACD" w:rsidRPr="001823ED" w:rsidRDefault="00356AB3" w:rsidP="009D21B5">
      <w:pPr>
        <w:widowControl w:val="0"/>
      </w:pPr>
      <w:r w:rsidRPr="001823ED">
        <w:t>At their first visit, an obstetrician confirmed eligibility and gave the potential participant an information leaflet</w:t>
      </w:r>
      <w:r w:rsidR="004554F6" w:rsidRPr="001823ED">
        <w:t xml:space="preserve"> to read</w:t>
      </w:r>
      <w:r w:rsidRPr="001823ED">
        <w:t xml:space="preserve">. Women </w:t>
      </w:r>
      <w:r w:rsidR="008775A0" w:rsidRPr="001823ED">
        <w:t>were given th</w:t>
      </w:r>
      <w:r w:rsidRPr="001823ED">
        <w:t xml:space="preserve">e opportunity to ask questions </w:t>
      </w:r>
      <w:r w:rsidR="008775A0" w:rsidRPr="001823ED">
        <w:t xml:space="preserve">and written informed consent was obtained. If a </w:t>
      </w:r>
      <w:r w:rsidR="004554F6" w:rsidRPr="001823ED">
        <w:t xml:space="preserve">woman </w:t>
      </w:r>
      <w:r w:rsidR="008775A0" w:rsidRPr="001823ED">
        <w:t>was found to be ineligible or declined to participate, the 3D ultrasound scan was still performed.</w:t>
      </w:r>
    </w:p>
    <w:p w14:paraId="23949D9E" w14:textId="3ABFE471" w:rsidR="004554F6" w:rsidRPr="001823ED" w:rsidRDefault="00356AB3" w:rsidP="009D21B5">
      <w:pPr>
        <w:widowControl w:val="0"/>
      </w:pPr>
      <w:r w:rsidRPr="001823ED">
        <w:t>Next, p</w:t>
      </w:r>
      <w:r w:rsidR="004554F6" w:rsidRPr="001823ED">
        <w:t>articipants underwent the following procedures by an obstetrician:</w:t>
      </w:r>
    </w:p>
    <w:p w14:paraId="60E8F56F" w14:textId="49EB9035" w:rsidR="004554F6" w:rsidRPr="001823ED" w:rsidRDefault="004554F6" w:rsidP="009D21B5">
      <w:pPr>
        <w:pStyle w:val="ListParagraph"/>
        <w:widowControl w:val="0"/>
        <w:numPr>
          <w:ilvl w:val="0"/>
          <w:numId w:val="27"/>
        </w:numPr>
        <w:spacing w:line="240" w:lineRule="auto"/>
        <w:ind w:left="426" w:hanging="426"/>
        <w:rPr>
          <w:lang w:val="en-GB"/>
        </w:rPr>
      </w:pPr>
      <w:r w:rsidRPr="001C3F35">
        <w:rPr>
          <w:lang w:val="en-GB"/>
        </w:rPr>
        <w:t xml:space="preserve">A </w:t>
      </w:r>
      <w:r w:rsidRPr="0007588C">
        <w:rPr>
          <w:lang w:val="en-GB"/>
        </w:rPr>
        <w:t>face-to-face</w:t>
      </w:r>
      <w:r w:rsidRPr="001C3F35">
        <w:rPr>
          <w:lang w:val="en-GB"/>
        </w:rPr>
        <w:t xml:space="preserve"> interview</w:t>
      </w:r>
      <w:r w:rsidRPr="001823ED">
        <w:rPr>
          <w:lang w:val="en-GB"/>
        </w:rPr>
        <w:t xml:space="preserve"> about demographic factors, height, weight, smoking, antimicrobial use during pregnancy, and medical and obstetric history.</w:t>
      </w:r>
    </w:p>
    <w:p w14:paraId="6D082F8C" w14:textId="2D9045A4" w:rsidR="00356AB3" w:rsidRPr="001823ED" w:rsidRDefault="00356AB3" w:rsidP="009D21B5">
      <w:pPr>
        <w:pStyle w:val="ListParagraph"/>
        <w:widowControl w:val="0"/>
        <w:numPr>
          <w:ilvl w:val="0"/>
          <w:numId w:val="27"/>
        </w:numPr>
        <w:spacing w:line="240" w:lineRule="auto"/>
        <w:ind w:left="426" w:hanging="426"/>
        <w:rPr>
          <w:lang w:val="en-GB"/>
        </w:rPr>
      </w:pPr>
      <w:r w:rsidRPr="001823ED">
        <w:rPr>
          <w:lang w:val="en-GB"/>
        </w:rPr>
        <w:t>Blood sampling (for another part of the project; results not described in this paper).</w:t>
      </w:r>
    </w:p>
    <w:p w14:paraId="108A984D" w14:textId="45A135CC" w:rsidR="004554F6" w:rsidRPr="001823ED" w:rsidRDefault="004554F6" w:rsidP="009D21B5">
      <w:pPr>
        <w:pStyle w:val="ListParagraph"/>
        <w:widowControl w:val="0"/>
        <w:numPr>
          <w:ilvl w:val="0"/>
          <w:numId w:val="27"/>
        </w:numPr>
        <w:spacing w:line="240" w:lineRule="auto"/>
        <w:ind w:left="426" w:hanging="426"/>
        <w:rPr>
          <w:lang w:val="en-GB"/>
        </w:rPr>
      </w:pPr>
      <w:r w:rsidRPr="001823ED">
        <w:rPr>
          <w:lang w:val="en-GB"/>
        </w:rPr>
        <w:t>A speculum examination with a chaperone present. During this examination,</w:t>
      </w:r>
      <w:r w:rsidR="00991750" w:rsidRPr="001823ED">
        <w:rPr>
          <w:lang w:val="en-GB"/>
        </w:rPr>
        <w:t xml:space="preserve"> ﻿cervicovaginal fluid was taken </w:t>
      </w:r>
      <w:r w:rsidR="00393BDB" w:rsidRPr="001823ED">
        <w:rPr>
          <w:lang w:val="en-GB"/>
        </w:rPr>
        <w:t xml:space="preserve">from the posterior fornix (10 seconds of rotation) </w:t>
      </w:r>
      <w:r w:rsidR="00991750" w:rsidRPr="001823ED">
        <w:rPr>
          <w:lang w:val="en-GB"/>
        </w:rPr>
        <w:t xml:space="preserve">for quantitative </w:t>
      </w:r>
      <w:r w:rsidR="001F5BA1" w:rsidRPr="001823ED">
        <w:rPr>
          <w:lang w:val="en-GB"/>
        </w:rPr>
        <w:t>foetal</w:t>
      </w:r>
      <w:r w:rsidR="00991750" w:rsidRPr="001823ED">
        <w:rPr>
          <w:lang w:val="en-GB"/>
        </w:rPr>
        <w:t xml:space="preserve"> fibronectin (qfFN) assessment</w:t>
      </w:r>
      <w:r w:rsidRPr="001823ED">
        <w:rPr>
          <w:lang w:val="en-GB"/>
        </w:rPr>
        <w:t xml:space="preserve">; </w:t>
      </w:r>
      <w:r w:rsidR="00393BDB" w:rsidRPr="001823ED">
        <w:rPr>
          <w:lang w:val="en-GB"/>
        </w:rPr>
        <w:t>three</w:t>
      </w:r>
      <w:r w:rsidR="00167A70" w:rsidRPr="001823ED">
        <w:rPr>
          <w:lang w:val="en-GB"/>
        </w:rPr>
        <w:t xml:space="preserve"> </w:t>
      </w:r>
      <w:r w:rsidRPr="001823ED">
        <w:rPr>
          <w:lang w:val="en-GB"/>
        </w:rPr>
        <w:t xml:space="preserve">high vaginal swabs </w:t>
      </w:r>
      <w:r w:rsidR="00B46B34" w:rsidRPr="001823ED">
        <w:rPr>
          <w:lang w:val="en-GB"/>
        </w:rPr>
        <w:t xml:space="preserve">using </w:t>
      </w:r>
      <w:r w:rsidR="00EB146A" w:rsidRPr="001823ED">
        <w:rPr>
          <w:lang w:val="en-GB"/>
        </w:rPr>
        <w:t>HydraFlock standard tapered swabs (Medical Wire and Equipment, Corsham, England)</w:t>
      </w:r>
      <w:r w:rsidRPr="001823ED">
        <w:rPr>
          <w:lang w:val="en-GB"/>
        </w:rPr>
        <w:t xml:space="preserve"> for VMB assessments; and </w:t>
      </w:r>
      <w:r w:rsidR="001E26D8" w:rsidRPr="001823ED">
        <w:rPr>
          <w:lang w:val="en-GB"/>
        </w:rPr>
        <w:t xml:space="preserve">a </w:t>
      </w:r>
      <w:r w:rsidR="001E26D8" w:rsidRPr="001C3F35">
        <w:rPr>
          <w:lang w:val="en-GB"/>
        </w:rPr>
        <w:t xml:space="preserve">high vaginal </w:t>
      </w:r>
      <w:r w:rsidR="001E377F" w:rsidRPr="0007588C">
        <w:rPr>
          <w:lang w:val="en-GB"/>
        </w:rPr>
        <w:t>charcoal</w:t>
      </w:r>
      <w:r w:rsidR="001E377F" w:rsidRPr="001823ED">
        <w:rPr>
          <w:lang w:val="en-GB"/>
        </w:rPr>
        <w:t xml:space="preserve"> </w:t>
      </w:r>
      <w:r w:rsidR="001E26D8" w:rsidRPr="001823ED">
        <w:rPr>
          <w:lang w:val="en-GB"/>
        </w:rPr>
        <w:t>swa</w:t>
      </w:r>
      <w:r w:rsidR="00EA6C8F" w:rsidRPr="001823ED">
        <w:rPr>
          <w:lang w:val="en-GB"/>
        </w:rPr>
        <w:t xml:space="preserve">b </w:t>
      </w:r>
      <w:r w:rsidRPr="001823ED">
        <w:rPr>
          <w:lang w:val="en-GB"/>
        </w:rPr>
        <w:t xml:space="preserve">for routine processing </w:t>
      </w:r>
      <w:r w:rsidR="00EA6C8F" w:rsidRPr="001823ED">
        <w:rPr>
          <w:lang w:val="en-GB"/>
        </w:rPr>
        <w:t>by the local NHS laboratory.</w:t>
      </w:r>
      <w:r w:rsidR="00373AA4" w:rsidRPr="001823ED">
        <w:rPr>
          <w:lang w:val="en-GB"/>
        </w:rPr>
        <w:t xml:space="preserve"> </w:t>
      </w:r>
    </w:p>
    <w:p w14:paraId="2B4928F5" w14:textId="77777777" w:rsidR="00356AB3" w:rsidRPr="001823ED" w:rsidRDefault="003E3582" w:rsidP="009D21B5">
      <w:pPr>
        <w:pStyle w:val="ListParagraph"/>
        <w:widowControl w:val="0"/>
        <w:numPr>
          <w:ilvl w:val="0"/>
          <w:numId w:val="27"/>
        </w:numPr>
        <w:spacing w:line="240" w:lineRule="auto"/>
        <w:ind w:left="426" w:hanging="426"/>
        <w:rPr>
          <w:lang w:val="en-GB"/>
        </w:rPr>
      </w:pPr>
      <w:r w:rsidRPr="001823ED">
        <w:rPr>
          <w:lang w:val="en-GB"/>
        </w:rPr>
        <w:t>A cervical length scan</w:t>
      </w:r>
      <w:r w:rsidR="00512F82" w:rsidRPr="001823ED">
        <w:rPr>
          <w:lang w:val="en-GB"/>
        </w:rPr>
        <w:t>.</w:t>
      </w:r>
    </w:p>
    <w:p w14:paraId="6C53EB83" w14:textId="77777777" w:rsidR="00356AB3" w:rsidRPr="001823ED" w:rsidRDefault="00356AB3" w:rsidP="009D21B5">
      <w:pPr>
        <w:pStyle w:val="ListParagraph"/>
        <w:widowControl w:val="0"/>
        <w:numPr>
          <w:ilvl w:val="0"/>
          <w:numId w:val="27"/>
        </w:numPr>
        <w:spacing w:line="240" w:lineRule="auto"/>
        <w:ind w:left="426" w:hanging="426"/>
        <w:rPr>
          <w:lang w:val="en-GB"/>
        </w:rPr>
      </w:pPr>
      <w:r w:rsidRPr="001823ED">
        <w:rPr>
          <w:lang w:val="en-GB"/>
        </w:rPr>
        <w:t xml:space="preserve">3D ultrasound scan. Photographs were provided to the participant. </w:t>
      </w:r>
    </w:p>
    <w:p w14:paraId="272DE201" w14:textId="5AA9FBE4" w:rsidR="00393BDB" w:rsidRPr="001823ED" w:rsidRDefault="00356AB3" w:rsidP="009D21B5">
      <w:pPr>
        <w:widowControl w:val="0"/>
      </w:pPr>
      <w:r w:rsidRPr="001823ED">
        <w:t>Any questio</w:t>
      </w:r>
      <w:r w:rsidR="00D73D3F" w:rsidRPr="001823ED">
        <w:t xml:space="preserve">ns were addressed as </w:t>
      </w:r>
      <w:proofErr w:type="gramStart"/>
      <w:r w:rsidR="00D73D3F" w:rsidRPr="001823ED">
        <w:t>necessary</w:t>
      </w:r>
      <w:proofErr w:type="gramEnd"/>
      <w:r w:rsidR="00D73D3F" w:rsidRPr="001823ED">
        <w:t xml:space="preserve"> </w:t>
      </w:r>
      <w:r w:rsidRPr="001823ED">
        <w:t xml:space="preserve">and the second clinic visit was scheduled. </w:t>
      </w:r>
    </w:p>
    <w:p w14:paraId="432D913D" w14:textId="77777777" w:rsidR="00393BDB" w:rsidRPr="001823ED" w:rsidRDefault="00393BDB" w:rsidP="009D21B5">
      <w:pPr>
        <w:widowControl w:val="0"/>
      </w:pPr>
    </w:p>
    <w:p w14:paraId="1742AD18" w14:textId="5CF5C422" w:rsidR="00D151B6" w:rsidRPr="001823ED" w:rsidRDefault="001E377F" w:rsidP="009D21B5">
      <w:pPr>
        <w:widowControl w:val="0"/>
      </w:pPr>
      <w:r w:rsidRPr="001823ED">
        <w:t xml:space="preserve">Samples were processed </w:t>
      </w:r>
      <w:r w:rsidR="00393BDB" w:rsidRPr="001823ED">
        <w:t xml:space="preserve">on the same day. The qfFN swab was tested on a Rapid fFN 10Q System (HOLOGIC, Marlborough, MA, USA), but the study obstetricians were blinded to the qfFN result until all participants in the study had given birth. One </w:t>
      </w:r>
      <w:r w:rsidRPr="001823ED">
        <w:t xml:space="preserve">HydraFlock </w:t>
      </w:r>
      <w:r w:rsidR="00393BDB" w:rsidRPr="001823ED">
        <w:t xml:space="preserve">swab was placed in </w:t>
      </w:r>
      <w:r w:rsidRPr="001823ED">
        <w:t xml:space="preserve">1ml of </w:t>
      </w:r>
      <w:proofErr w:type="spellStart"/>
      <w:r w:rsidRPr="001823ED">
        <w:t>RNAlater</w:t>
      </w:r>
      <w:proofErr w:type="spellEnd"/>
      <w:r w:rsidR="00356AB3" w:rsidRPr="001823ED">
        <w:t xml:space="preserve"> (Merck Life Science UK Ltd, Dorset, UK)</w:t>
      </w:r>
      <w:r w:rsidR="00393BDB" w:rsidRPr="001823ED">
        <w:t>, and the other two were stored dry, in 1.2ml cryogenic tubes (Fisher scientific, Loughboro</w:t>
      </w:r>
      <w:r w:rsidR="001F5BA1">
        <w:t xml:space="preserve">ugh, UK) </w:t>
      </w:r>
      <w:r w:rsidR="00393BDB" w:rsidRPr="001823ED">
        <w:t>at -80°C within an hour of sampling</w:t>
      </w:r>
      <w:r w:rsidR="00356AB3" w:rsidRPr="001823ED">
        <w:t xml:space="preserve">. </w:t>
      </w:r>
      <w:r w:rsidR="00D151B6" w:rsidRPr="001C3F35">
        <w:t xml:space="preserve">The </w:t>
      </w:r>
      <w:r w:rsidR="00D151B6" w:rsidRPr="0007588C">
        <w:t>charcoal</w:t>
      </w:r>
      <w:r w:rsidR="00D151B6" w:rsidRPr="001C3F35">
        <w:t xml:space="preserve"> swab was</w:t>
      </w:r>
      <w:r w:rsidR="00D151B6" w:rsidRPr="001823ED">
        <w:t xml:space="preserve"> transported to the local NHS laboratory for diagnosis of bacterial vaginosis and candidiasis by </w:t>
      </w:r>
      <w:r w:rsidRPr="001823ED">
        <w:t>culture</w:t>
      </w:r>
      <w:r w:rsidR="0007588C">
        <w:t>. The latter results were not available to the study team, but only one woman reported having received treatment for vulvovaginal candidiasis during her pregnancy, prior to enrolment into the study.</w:t>
      </w:r>
    </w:p>
    <w:p w14:paraId="55B9B72A" w14:textId="6993357B" w:rsidR="004554F6" w:rsidRPr="001823ED" w:rsidRDefault="004554F6" w:rsidP="009D21B5">
      <w:pPr>
        <w:widowControl w:val="0"/>
      </w:pPr>
    </w:p>
    <w:p w14:paraId="5331A7AB" w14:textId="04E03172" w:rsidR="00D73D3F" w:rsidRPr="001823ED" w:rsidRDefault="00D73D3F" w:rsidP="009D21B5">
      <w:pPr>
        <w:widowControl w:val="0"/>
      </w:pPr>
      <w:r w:rsidRPr="001823ED">
        <w:t>At the second study visit, an obstetrician verbally confirmed ongoing willingness to participate in the study and questioned the participant about any new conditions that had been identified during the pregnancy, use of preterm birth prevention treatment, antimicrobial medication use, any other medication use in the previous 72 hours (including vitamins), and vaginal sex in the previous 48 hours. The blood sampling, speculum examination with vaginal swabs, cervical length scan, and 3D ultrasound scan were then repeated in the same way as described above for the first visit. At the end of the second visit, contact details were confirmed, and participants were asked for their permission to be contacted about the pregnancy outcome should the</w:t>
      </w:r>
      <w:r w:rsidR="000521BA" w:rsidRPr="001823ED">
        <w:t xml:space="preserve"> need arise (see below)</w:t>
      </w:r>
      <w:r w:rsidRPr="001823ED">
        <w:t>.</w:t>
      </w:r>
    </w:p>
    <w:p w14:paraId="2C2525AA" w14:textId="1D6AEB66" w:rsidR="00A75F12" w:rsidRPr="001823ED" w:rsidRDefault="00A75F12" w:rsidP="009D21B5">
      <w:pPr>
        <w:widowControl w:val="0"/>
      </w:pPr>
    </w:p>
    <w:p w14:paraId="05DD55F7" w14:textId="77777777" w:rsidR="008C30B2" w:rsidRDefault="00D73D3F" w:rsidP="009D21B5">
      <w:pPr>
        <w:widowControl w:val="0"/>
      </w:pPr>
      <w:r w:rsidRPr="001823ED">
        <w:t xml:space="preserve">Pregnancies </w:t>
      </w:r>
      <w:r w:rsidR="00393BDB" w:rsidRPr="001823ED">
        <w:t xml:space="preserve">were managed </w:t>
      </w:r>
      <w:r w:rsidR="001E377F" w:rsidRPr="001823ED">
        <w:t xml:space="preserve">in accordance with </w:t>
      </w:r>
      <w:r w:rsidR="00393BDB" w:rsidRPr="001823ED">
        <w:t xml:space="preserve">usual practices in the Liverpool Women’s Hospital. Preterm birth prevention therapy (cerclage, vaginal pessary, or vaginal progesterone) was offered if cervical length was ≤ 25mm or based on clinician and patient preference </w:t>
      </w:r>
      <w:r w:rsidR="001E377F" w:rsidRPr="001823ED">
        <w:t xml:space="preserve">in case of a </w:t>
      </w:r>
      <w:r w:rsidR="00393BDB" w:rsidRPr="001823ED">
        <w:t>large change in cervical length between measurements.</w:t>
      </w:r>
      <w:r w:rsidRPr="001823ED">
        <w:t xml:space="preserve"> None of the low-risk women r</w:t>
      </w:r>
      <w:r w:rsidR="008C30B2">
        <w:t>equired an intervention but most (78/109) of the high-risk women did</w:t>
      </w:r>
      <w:r w:rsidR="001E377F" w:rsidRPr="001823ED">
        <w:t xml:space="preserve">. </w:t>
      </w:r>
    </w:p>
    <w:p w14:paraId="00861BC3" w14:textId="77777777" w:rsidR="008C30B2" w:rsidRDefault="008C30B2" w:rsidP="009D21B5">
      <w:pPr>
        <w:widowControl w:val="0"/>
      </w:pPr>
    </w:p>
    <w:p w14:paraId="65E93E60" w14:textId="4AFD14A4" w:rsidR="00D73D3F" w:rsidRPr="001823ED" w:rsidRDefault="004375FA" w:rsidP="009D21B5">
      <w:pPr>
        <w:widowControl w:val="0"/>
      </w:pPr>
      <w:r>
        <w:t xml:space="preserve">We were not able to collect data about antimicrobial use in pregnancy </w:t>
      </w:r>
      <w:r w:rsidR="008C30B2">
        <w:t xml:space="preserve">– other than by participant self-report - </w:t>
      </w:r>
      <w:r>
        <w:t xml:space="preserve">because of the </w:t>
      </w:r>
      <w:r w:rsidR="00811E9E">
        <w:t xml:space="preserve">wide range of </w:t>
      </w:r>
      <w:r w:rsidR="008C30B2">
        <w:t>treatment providers. These include</w:t>
      </w:r>
      <w:r w:rsidR="00811E9E">
        <w:t xml:space="preserve"> the hospital, primary care practitioner</w:t>
      </w:r>
      <w:r w:rsidR="00135E2B">
        <w:t>s</w:t>
      </w:r>
      <w:r w:rsidR="008C30B2">
        <w:t xml:space="preserve">, walk-in centres, or - </w:t>
      </w:r>
      <w:r w:rsidR="00811E9E">
        <w:t xml:space="preserve">in the case of </w:t>
      </w:r>
      <w:r w:rsidR="008C30B2">
        <w:t>vulvovaginal candidiasis - over the counter purchase.</w:t>
      </w:r>
    </w:p>
    <w:p w14:paraId="4BC93018" w14:textId="402AD48D" w:rsidR="00D73D3F" w:rsidRPr="001823ED" w:rsidRDefault="00D73D3F" w:rsidP="009D21B5">
      <w:pPr>
        <w:pStyle w:val="Heading2"/>
        <w:keepNext w:val="0"/>
        <w:keepLines w:val="0"/>
        <w:widowControl w:val="0"/>
      </w:pPr>
      <w:bookmarkStart w:id="11" w:name="_Toc69722984"/>
      <w:r w:rsidRPr="001823ED">
        <w:lastRenderedPageBreak/>
        <w:t>Ascertain</w:t>
      </w:r>
      <w:r w:rsidR="00132172" w:rsidRPr="001823ED">
        <w:t xml:space="preserve">ment of outcomes and treatments </w:t>
      </w:r>
      <w:r w:rsidR="00556C9D" w:rsidRPr="001823ED">
        <w:t xml:space="preserve">after </w:t>
      </w:r>
      <w:r w:rsidRPr="001823ED">
        <w:t>pregnancy</w:t>
      </w:r>
      <w:bookmarkEnd w:id="11"/>
    </w:p>
    <w:p w14:paraId="5205665E" w14:textId="50B1603A" w:rsidR="00D73D3F" w:rsidRDefault="00D73D3F" w:rsidP="00AE5CA7">
      <w:pPr>
        <w:widowControl w:val="0"/>
      </w:pPr>
      <w:r w:rsidRPr="001823ED">
        <w:t xml:space="preserve">Liverpool Women’s Hospital records were </w:t>
      </w:r>
      <w:r w:rsidRPr="00542F70">
        <w:t xml:space="preserve">reviewed </w:t>
      </w:r>
      <w:r w:rsidRPr="008C30B2">
        <w:t>by study obstetricians</w:t>
      </w:r>
      <w:r w:rsidRPr="00542F70">
        <w:t xml:space="preserve"> to ascertain</w:t>
      </w:r>
      <w:r w:rsidRPr="001823ED">
        <w:t xml:space="preserve"> pregnancy outcomes</w:t>
      </w:r>
      <w:r w:rsidR="000521BA" w:rsidRPr="001823ED">
        <w:t xml:space="preserve"> and whether any preterm birth prevention treatment had been used</w:t>
      </w:r>
      <w:r w:rsidRPr="001823ED">
        <w:t xml:space="preserve">. </w:t>
      </w:r>
      <w:r w:rsidR="00AE5CA7" w:rsidRPr="00AE5CA7">
        <w:t>Birth outcomes were classified independently by two clinicians experienced in PTB management. When there was a discrepancy between them, the case was reviewed by a third experienced clinician until the team reached consensus.</w:t>
      </w:r>
      <w:r w:rsidR="00AE5CA7">
        <w:t xml:space="preserve"> </w:t>
      </w:r>
      <w:r w:rsidRPr="001823ED">
        <w:t xml:space="preserve">If </w:t>
      </w:r>
      <w:r w:rsidR="000521BA" w:rsidRPr="001823ED">
        <w:t>a participant</w:t>
      </w:r>
      <w:r w:rsidRPr="001823ED">
        <w:t xml:space="preserve"> </w:t>
      </w:r>
      <w:r w:rsidR="00833A7B">
        <w:t xml:space="preserve">eventually </w:t>
      </w:r>
      <w:r w:rsidR="000521BA" w:rsidRPr="001823ED">
        <w:t>deliver</w:t>
      </w:r>
      <w:r w:rsidR="00833A7B">
        <w:t>ed</w:t>
      </w:r>
      <w:r w:rsidR="000521BA" w:rsidRPr="001823ED">
        <w:t xml:space="preserve"> </w:t>
      </w:r>
      <w:r w:rsidRPr="001823ED">
        <w:t>elsewhere</w:t>
      </w:r>
      <w:r w:rsidR="000521BA" w:rsidRPr="001823ED">
        <w:t>,</w:t>
      </w:r>
      <w:r w:rsidRPr="001823ED">
        <w:t xml:space="preserve"> </w:t>
      </w:r>
      <w:r w:rsidR="000521BA" w:rsidRPr="001823ED">
        <w:t xml:space="preserve">pregnancy outcome information was requested from the participant’s delivery care provider, or (if this was not successful) from the participant herself. </w:t>
      </w:r>
    </w:p>
    <w:p w14:paraId="3FC5643E" w14:textId="12A369D4" w:rsidR="00A314E2" w:rsidRDefault="00A314E2" w:rsidP="00AE5CA7">
      <w:pPr>
        <w:widowControl w:val="0"/>
      </w:pPr>
    </w:p>
    <w:p w14:paraId="221FB28C" w14:textId="54464461" w:rsidR="00A314E2" w:rsidRDefault="00A314E2" w:rsidP="00AE5CA7">
      <w:pPr>
        <w:widowControl w:val="0"/>
        <w:rPr>
          <w:b/>
          <w:bCs/>
        </w:rPr>
      </w:pPr>
      <w:r>
        <w:rPr>
          <w:b/>
          <w:bCs/>
        </w:rPr>
        <w:t>Diagnosis of chorioamnionitis</w:t>
      </w:r>
    </w:p>
    <w:p w14:paraId="192991E4" w14:textId="292B91F4" w:rsidR="00A314E2" w:rsidRPr="00A314E2" w:rsidRDefault="00A314E2" w:rsidP="00A314E2">
      <w:pPr>
        <w:widowControl w:val="0"/>
      </w:pPr>
      <w:r>
        <w:t>For all participants that experienced sPTB or PPROM</w:t>
      </w:r>
      <w:r w:rsidR="0086354C">
        <w:t>,</w:t>
      </w:r>
      <w:r>
        <w:t xml:space="preserve"> two clinicians reviewed the contemporaneous clinical notes to determine whether chorioamnionitis </w:t>
      </w:r>
      <w:r w:rsidR="0086354C">
        <w:t xml:space="preserve">was present, defined as </w:t>
      </w:r>
      <w:r>
        <w:t>one or more of</w:t>
      </w:r>
      <w:r w:rsidR="0086354C">
        <w:t xml:space="preserve"> </w:t>
      </w:r>
      <w:r>
        <w:t>raised white cell count, raised C-reactive protein, maternal pyrexia, or the use of broad spectrum antibiotics to treat chorioamnionitis. Th</w:t>
      </w:r>
      <w:r w:rsidR="0086354C">
        <w:t>e definition</w:t>
      </w:r>
      <w:r>
        <w:t xml:space="preserve"> did not</w:t>
      </w:r>
      <w:r w:rsidR="00BA56FA">
        <w:t xml:space="preserve"> include</w:t>
      </w:r>
      <w:r>
        <w:t xml:space="preserve"> histologic evidence of chorioamnionitis on placental</w:t>
      </w:r>
      <w:r w:rsidR="00BA56FA">
        <w:t xml:space="preserve"> </w:t>
      </w:r>
      <w:r>
        <w:t>histology alone (subclinical chorioamnionitis)</w:t>
      </w:r>
      <w:r w:rsidR="00BA56FA">
        <w:t>. For participants with sPTB</w:t>
      </w:r>
      <w:r w:rsidR="0086354C">
        <w:t>,</w:t>
      </w:r>
      <w:r w:rsidR="00BA56FA">
        <w:t xml:space="preserve"> </w:t>
      </w:r>
      <w:r w:rsidR="0086354C">
        <w:t xml:space="preserve">the </w:t>
      </w:r>
      <w:r w:rsidR="00BA56FA">
        <w:t xml:space="preserve">chorioamnionitis </w:t>
      </w:r>
      <w:r w:rsidR="0086354C">
        <w:t xml:space="preserve">diagnosis </w:t>
      </w:r>
      <w:r w:rsidR="00BA56FA">
        <w:t>had to be made during the process of spontaneous labour. For participants with PPROM</w:t>
      </w:r>
      <w:r w:rsidR="0086354C">
        <w:t>,</w:t>
      </w:r>
      <w:r w:rsidR="00BA56FA">
        <w:t xml:space="preserve"> the chorioamnionitis </w:t>
      </w:r>
      <w:r w:rsidR="0086354C">
        <w:t xml:space="preserve">diagnosis </w:t>
      </w:r>
      <w:r w:rsidR="00BA56FA">
        <w:t>had to be made within 7 days of PPROM.</w:t>
      </w:r>
    </w:p>
    <w:p w14:paraId="260D3BC8" w14:textId="5D45F294" w:rsidR="00411C71" w:rsidRPr="001823ED" w:rsidRDefault="00411C71" w:rsidP="009D21B5">
      <w:pPr>
        <w:widowControl w:val="0"/>
        <w:rPr>
          <w:i/>
          <w:noProof/>
        </w:rPr>
      </w:pPr>
    </w:p>
    <w:p w14:paraId="445E010A" w14:textId="01278236" w:rsidR="00492ACD" w:rsidRPr="001823ED" w:rsidRDefault="00492ACD" w:rsidP="009D21B5">
      <w:pPr>
        <w:pStyle w:val="Heading2"/>
        <w:keepNext w:val="0"/>
        <w:keepLines w:val="0"/>
        <w:widowControl w:val="0"/>
        <w:rPr>
          <w:noProof/>
        </w:rPr>
      </w:pPr>
      <w:bookmarkStart w:id="12" w:name="_Toc69722985"/>
      <w:r w:rsidRPr="001823ED">
        <w:rPr>
          <w:noProof/>
        </w:rPr>
        <w:t>Laboratory procedures</w:t>
      </w:r>
      <w:bookmarkEnd w:id="12"/>
    </w:p>
    <w:p w14:paraId="3CA93EDB" w14:textId="77777777" w:rsidR="00492ACD" w:rsidRPr="001823ED" w:rsidRDefault="00492ACD" w:rsidP="009D21B5">
      <w:pPr>
        <w:pStyle w:val="Heading3"/>
        <w:keepNext w:val="0"/>
        <w:keepLines w:val="0"/>
        <w:widowControl w:val="0"/>
        <w:spacing w:before="0" w:line="240" w:lineRule="auto"/>
        <w:rPr>
          <w:rFonts w:asciiTheme="minorHAnsi" w:hAnsiTheme="minorHAnsi"/>
          <w:i/>
          <w:noProof/>
          <w:color w:val="auto"/>
          <w:szCs w:val="22"/>
        </w:rPr>
      </w:pPr>
    </w:p>
    <w:p w14:paraId="64BB2D30" w14:textId="3A2BC820" w:rsidR="00411C71" w:rsidRPr="001823ED" w:rsidRDefault="00411C71" w:rsidP="009D21B5">
      <w:pPr>
        <w:widowControl w:val="0"/>
        <w:rPr>
          <w:i/>
          <w:noProof/>
        </w:rPr>
      </w:pPr>
      <w:r w:rsidRPr="001823ED">
        <w:rPr>
          <w:i/>
          <w:noProof/>
        </w:rPr>
        <w:t>DNA extraction</w:t>
      </w:r>
    </w:p>
    <w:p w14:paraId="1ED183C4" w14:textId="43D867B7" w:rsidR="00B921C6" w:rsidRPr="001823ED" w:rsidRDefault="00411C71" w:rsidP="009D21B5">
      <w:pPr>
        <w:widowControl w:val="0"/>
      </w:pPr>
      <w:r w:rsidRPr="001823ED">
        <w:t xml:space="preserve">DNA extraction and sequencing were done at the University of Liverpool Centre for Genomic </w:t>
      </w:r>
      <w:r w:rsidR="00484342" w:rsidRPr="001823ED">
        <w:t>R</w:t>
      </w:r>
      <w:r w:rsidRPr="001823ED">
        <w:t>esearch.</w:t>
      </w:r>
      <w:r w:rsidRPr="001823ED">
        <w:rPr>
          <w:kern w:val="24"/>
          <w:vertAlign w:val="superscript"/>
        </w:rPr>
        <w:t xml:space="preserve"> </w:t>
      </w:r>
      <w:r w:rsidRPr="001823ED">
        <w:t xml:space="preserve">DNA was extracted from one sample per participant per visit. </w:t>
      </w:r>
      <w:r w:rsidR="00B921C6" w:rsidRPr="001823ED">
        <w:t>A total of 706 swabs from 364 participants underwent DNA extraction, PCR amplification, and 16S rRNA sequencing. Any subsequent data processing was restricted to data from the 259 participants that were included in the high- and low-risk cohorts of the case-control sub-study.</w:t>
      </w:r>
    </w:p>
    <w:p w14:paraId="486CA438" w14:textId="48FE5DB3" w:rsidR="00411C71" w:rsidRPr="001823ED" w:rsidRDefault="00411C71" w:rsidP="009D21B5">
      <w:pPr>
        <w:widowControl w:val="0"/>
      </w:pPr>
    </w:p>
    <w:p w14:paraId="62F0C371" w14:textId="33699D87" w:rsidR="00B921C6" w:rsidRPr="001823ED" w:rsidRDefault="00B921C6" w:rsidP="009D21B5">
      <w:pPr>
        <w:widowControl w:val="0"/>
      </w:pPr>
      <w:r w:rsidRPr="001823ED">
        <w:t xml:space="preserve">The samples were thawed, and DNA was extracted by adding 180 </w:t>
      </w:r>
      <w:proofErr w:type="spellStart"/>
      <w:r w:rsidRPr="001823ED">
        <w:t>μl</w:t>
      </w:r>
      <w:proofErr w:type="spellEnd"/>
      <w:r w:rsidRPr="001823ED">
        <w:t xml:space="preserve"> of enzymatic lysis buffer containing lysozyme to the sample (Sigma-Aldrich, Dorset, UK); incubation for 30 minutes at 37 °C; adding 25 </w:t>
      </w:r>
      <w:proofErr w:type="spellStart"/>
      <w:r w:rsidRPr="001823ED">
        <w:t>μl</w:t>
      </w:r>
      <w:proofErr w:type="spellEnd"/>
      <w:r w:rsidRPr="001823ED">
        <w:t xml:space="preserve"> of proteinase K and 200 </w:t>
      </w:r>
      <w:proofErr w:type="spellStart"/>
      <w:r w:rsidRPr="001823ED">
        <w:t>μl</w:t>
      </w:r>
      <w:proofErr w:type="spellEnd"/>
      <w:r w:rsidRPr="001823ED">
        <w:t xml:space="preserve"> of buffer AL from the Qiagen </w:t>
      </w:r>
      <w:proofErr w:type="spellStart"/>
      <w:r w:rsidRPr="001823ED">
        <w:t>DNeasy</w:t>
      </w:r>
      <w:proofErr w:type="spellEnd"/>
      <w:r w:rsidRPr="001823ED">
        <w:t xml:space="preserve"> Blood and Tissue kit (Qiagen, Manchester, UK); incubation for 30 minutes at 560 C; adding 200 mg of 0.1 mm zirconia/ silica beads (Thistle Scientific, Glasgow, UK), and bead-beating for 5 minutes at 25 Hz on a Qiagen </w:t>
      </w:r>
      <w:proofErr w:type="spellStart"/>
      <w:r w:rsidRPr="001823ED">
        <w:t>TissueLyser</w:t>
      </w:r>
      <w:proofErr w:type="spellEnd"/>
      <w:r w:rsidRPr="001823ED">
        <w:t xml:space="preserve"> II (Qiagen, Manchester, UK). Next 200 </w:t>
      </w:r>
      <w:proofErr w:type="spellStart"/>
      <w:r w:rsidRPr="001823ED">
        <w:t>μl</w:t>
      </w:r>
      <w:proofErr w:type="spellEnd"/>
      <w:r w:rsidRPr="001823ED">
        <w:t xml:space="preserve"> of 100% ethanol was added to the sample followed by centrifugation. The swab head was discarded, and the pellet was purified in four subsequent centrifugation steps after adding one-by-one 200 </w:t>
      </w:r>
      <w:proofErr w:type="spellStart"/>
      <w:r w:rsidRPr="001823ED">
        <w:t>μl</w:t>
      </w:r>
      <w:proofErr w:type="spellEnd"/>
      <w:r w:rsidRPr="001823ED">
        <w:t xml:space="preserve"> 100% ethanol, 500 </w:t>
      </w:r>
      <w:proofErr w:type="spellStart"/>
      <w:r w:rsidRPr="001823ED">
        <w:t>μl</w:t>
      </w:r>
      <w:proofErr w:type="spellEnd"/>
      <w:r w:rsidRPr="001823ED">
        <w:t xml:space="preserve"> buffer AW1, 500 </w:t>
      </w:r>
      <w:proofErr w:type="spellStart"/>
      <w:r w:rsidRPr="001823ED">
        <w:t>μl</w:t>
      </w:r>
      <w:proofErr w:type="spellEnd"/>
      <w:r w:rsidRPr="001823ED">
        <w:t xml:space="preserve"> buffer AW2 and 75 </w:t>
      </w:r>
      <w:proofErr w:type="spellStart"/>
      <w:r w:rsidRPr="001823ED">
        <w:t>μl</w:t>
      </w:r>
      <w:proofErr w:type="spellEnd"/>
      <w:r w:rsidRPr="001823ED">
        <w:t xml:space="preserve"> buffer AE as per manufacturer’s instructions (Qiagen, Manchester, UK). In order to facilitate detection of contaminants downstream, we included one negative control (an empty tube) with each DNA extraction round of 23 study samples. The DNA concentration of all samples was measured by Qubit (Invitrogen, Thermo Scientific, Paisley, UK) and the DNA quality of all samples by Nanodrop (Thermo Scientific, Paisley, UK). Samples with a particularly low DNA concentration or quality were discarded (n=25) and the DNA extraction process was performed on the second sample taken during that study visit (these samples subsequently achieved acceptable concentration and quality assessments).</w:t>
      </w:r>
    </w:p>
    <w:p w14:paraId="00FDCEBB" w14:textId="55F98FBA" w:rsidR="00E96A6C" w:rsidRPr="001823ED" w:rsidRDefault="00E96A6C" w:rsidP="009D21B5">
      <w:pPr>
        <w:widowControl w:val="0"/>
      </w:pPr>
    </w:p>
    <w:p w14:paraId="1E6EDBB8" w14:textId="77777777" w:rsidR="00411C71" w:rsidRPr="001823ED" w:rsidRDefault="00411C71" w:rsidP="009D21B5">
      <w:pPr>
        <w:widowControl w:val="0"/>
        <w:rPr>
          <w:i/>
          <w:noProof/>
        </w:rPr>
      </w:pPr>
      <w:r w:rsidRPr="001823ED">
        <w:rPr>
          <w:i/>
          <w:noProof/>
        </w:rPr>
        <w:t>PCR amplification and 16S rRNA gene sequencing</w:t>
      </w:r>
    </w:p>
    <w:p w14:paraId="00CD3642" w14:textId="10DF5E5C" w:rsidR="007E73D2" w:rsidRPr="001823ED" w:rsidRDefault="007E73D2" w:rsidP="009D21B5">
      <w:pPr>
        <w:widowControl w:val="0"/>
        <w:rPr>
          <w:rFonts w:ascii="Times New Roman" w:hAnsi="Times New Roman"/>
        </w:rPr>
      </w:pPr>
      <w:r w:rsidRPr="001823ED">
        <w:t>Two PCR rounds were performed for each DNA sample (study samples and negative controls) for 16S rRNA gene amplification and barcoding. Firstly, the V3-V4 region of the 16S rRNA gene was amplified as described previously.</w:t>
      </w:r>
      <w:r w:rsidRPr="001823ED">
        <w:fldChar w:fldCharType="begin" w:fldLock="1"/>
      </w:r>
      <w:r w:rsidR="003335F9">
        <w:instrText>ADDIN CSL_CITATION {"citationItems":[{"id":"ITEM-1","itemData":{"DOI":"10.1186/2049-2618-2-6","ISSN":"2049-2618","abstract":"To take advantage of affordable high-throughput next-generation sequencing technologies to characterize microbial community composition often requires the development of improved methods to overcome technical limitations inherent to the sequencing platforms. Sequencing low sequence diversity libraries such as 16S rRNA amplicons has been problematic on the Illumina MiSeq platform and often generates sequences of suboptimal quality.","author":[{"dropping-particle":"","family":"Fadrosh","given":"Douglas W","non-dropping-particle":"","parse-names":false,"suffix":""},{"dropping-particle":"","family":"Ma","given":"Bing","non-dropping-particle":"","parse-names":false,"suffix":""},{"dropping-particle":"","family":"Gajer","given":"Pawel","non-dropping-particle":"","parse-names":false,"suffix":""},{"dropping-particle":"","family":"Sengamalay","given":"Naomi","non-dropping-particle":"","parse-names":false,"suffix":""},{"dropping-particle":"","family":"Ott","given":"Sandra","non-dropping-particle":"","parse-names":false,"suffix":""},{"dropping-particle":"","family":"Brotman","given":"Rebecca M","non-dropping-particle":"","parse-names":false,"suffix":""},{"dropping-particle":"","family":"Ravel","given":"Jacques","non-dropping-particle":"","parse-names":false,"suffix":""}],"container-title":"Microbiome","id":"ITEM-1","issue":"1","issued":{"date-parts":[["2014"]]},"page":"6","title":"An improved dual-indexing approach for multiplexed 16S rRNA gene sequencing on the Illumina MiSeq platform","type":"article-journal","volume":"2"},"uris":["http://www.mendeley.com/documents/?uuid=a867757a-853a-4496-932c-11f6249a39e1"]}],"mendeley":{"formattedCitation":"&lt;sup&gt;11&lt;/sup&gt;","plainTextFormattedCitation":"11","previouslyFormattedCitation":"&lt;sup&gt;11&lt;/sup&gt;"},"properties":{"noteIndex":0},"schema":"https://github.com/citation-style-language/schema/raw/master/csl-citation.json"}</w:instrText>
      </w:r>
      <w:r w:rsidRPr="001823ED">
        <w:fldChar w:fldCharType="separate"/>
      </w:r>
      <w:r w:rsidR="00D213DC" w:rsidRPr="00D213DC">
        <w:rPr>
          <w:noProof/>
          <w:vertAlign w:val="superscript"/>
        </w:rPr>
        <w:t>11</w:t>
      </w:r>
      <w:r w:rsidRPr="001823ED">
        <w:fldChar w:fldCharType="end"/>
      </w:r>
      <w:r w:rsidRPr="001823ED">
        <w:t xml:space="preserve"> DNA was amplified using 1.25 </w:t>
      </w:r>
      <w:proofErr w:type="spellStart"/>
      <w:r w:rsidRPr="001823ED">
        <w:t>μl</w:t>
      </w:r>
      <w:proofErr w:type="spellEnd"/>
      <w:r w:rsidRPr="001823ED">
        <w:t xml:space="preserve"> of a 10 µM concentration of 319F </w:t>
      </w:r>
      <w:r w:rsidR="00CB2465" w:rsidRPr="001823ED">
        <w:t>forward primer (</w:t>
      </w:r>
      <w:r w:rsidRPr="001823ED">
        <w:t>5’-ACTCCTA</w:t>
      </w:r>
      <w:r w:rsidR="00CB2465" w:rsidRPr="001823ED">
        <w:t xml:space="preserve">CGGGAGGCAGCAG-3’) </w:t>
      </w:r>
      <w:r w:rsidRPr="001823ED">
        <w:t xml:space="preserve">and 1.25 </w:t>
      </w:r>
      <w:proofErr w:type="spellStart"/>
      <w:r w:rsidRPr="001823ED">
        <w:t>μl</w:t>
      </w:r>
      <w:proofErr w:type="spellEnd"/>
      <w:r w:rsidRPr="001823ED">
        <w:t xml:space="preserve"> of a 10 µM concentration of 806R </w:t>
      </w:r>
      <w:r w:rsidR="00CB2465" w:rsidRPr="001823ED">
        <w:t>reverse primer (</w:t>
      </w:r>
      <w:r w:rsidRPr="001823ED">
        <w:t>5’-GGACTA</w:t>
      </w:r>
      <w:r w:rsidR="00CB2465" w:rsidRPr="001823ED">
        <w:t>CHVGGGTWTCTAAT-3’)</w:t>
      </w:r>
      <w:r w:rsidRPr="001823ED">
        <w:t xml:space="preserve">, 12.5 </w:t>
      </w:r>
      <w:proofErr w:type="spellStart"/>
      <w:r w:rsidRPr="001823ED">
        <w:t>μl</w:t>
      </w:r>
      <w:proofErr w:type="spellEnd"/>
      <w:r w:rsidRPr="001823ED">
        <w:t xml:space="preserve"> NEB Next HF 2x PCR Master Mix (New England Biolabs, Hitchin, UK), 9 </w:t>
      </w:r>
      <w:proofErr w:type="spellStart"/>
      <w:r w:rsidRPr="001823ED">
        <w:t>μl</w:t>
      </w:r>
      <w:proofErr w:type="spellEnd"/>
      <w:r w:rsidRPr="001823ED">
        <w:t xml:space="preserve"> of nuclease-free water and 1 </w:t>
      </w:r>
      <w:proofErr w:type="spellStart"/>
      <w:r w:rsidRPr="001823ED">
        <w:t>μl</w:t>
      </w:r>
      <w:proofErr w:type="spellEnd"/>
      <w:r w:rsidRPr="001823ED">
        <w:t xml:space="preserve"> of DNA extraction product to make a 25 </w:t>
      </w:r>
      <w:proofErr w:type="spellStart"/>
      <w:r w:rsidRPr="001823ED">
        <w:t>μl</w:t>
      </w:r>
      <w:proofErr w:type="spellEnd"/>
      <w:r w:rsidRPr="001823ED">
        <w:t xml:space="preserve"> reaction volume. The first denaturation cycle was performed for 30 seconds at 98 °C, followed by 10 </w:t>
      </w:r>
      <w:r w:rsidRPr="001823ED">
        <w:lastRenderedPageBreak/>
        <w:t xml:space="preserve">cycles with a denaturation cycle of 10 seconds (at 98 °C), an annealing cycle of 30 seconds (at 58 °C), an extension cycle of 30 seconds (at 72 °C), and finally an extension cycle of 5 minutes at 72 °C. PCR products were then purified and size-selected using </w:t>
      </w:r>
      <w:proofErr w:type="spellStart"/>
      <w:r w:rsidRPr="001823ED">
        <w:t>Agencourt</w:t>
      </w:r>
      <w:proofErr w:type="spellEnd"/>
      <w:r w:rsidRPr="001823ED">
        <w:t xml:space="preserve"> </w:t>
      </w:r>
      <w:proofErr w:type="spellStart"/>
      <w:r w:rsidRPr="001823ED">
        <w:t>AMPure</w:t>
      </w:r>
      <w:proofErr w:type="spellEnd"/>
      <w:r w:rsidRPr="001823ED">
        <w:t xml:space="preserve"> XP beads (Beckman Coulter, High Wycombe, UK) in a 1:1 bead-to-sample ratio. The final PCR round used the standard Illumina </w:t>
      </w:r>
      <w:proofErr w:type="spellStart"/>
      <w:r w:rsidRPr="001823ED">
        <w:t>Nextera</w:t>
      </w:r>
      <w:proofErr w:type="spellEnd"/>
      <w:r w:rsidRPr="001823ED">
        <w:t xml:space="preserve"> XT index kit v2 (Illumina, San Diego, CA, USA), aimed at V3-V4 sequences by a dual-index approach. This permits multiplexing of up to 384 samples at a time (two rounds were performed to accommodate all samples). The barcoding used 2.5 </w:t>
      </w:r>
      <w:proofErr w:type="spellStart"/>
      <w:r w:rsidRPr="001823ED">
        <w:t>μl</w:t>
      </w:r>
      <w:proofErr w:type="spellEnd"/>
      <w:r w:rsidRPr="001823ED">
        <w:t xml:space="preserve"> of Index 1 primer, 2.5 </w:t>
      </w:r>
      <w:proofErr w:type="spellStart"/>
      <w:r w:rsidRPr="001823ED">
        <w:t>μl</w:t>
      </w:r>
      <w:proofErr w:type="spellEnd"/>
      <w:r w:rsidRPr="001823ED">
        <w:t xml:space="preserve"> of Index 2 primer, 12.5 </w:t>
      </w:r>
      <w:proofErr w:type="spellStart"/>
      <w:r w:rsidRPr="001823ED">
        <w:t>μl</w:t>
      </w:r>
      <w:proofErr w:type="spellEnd"/>
      <w:r w:rsidRPr="001823ED">
        <w:t xml:space="preserve"> NEB Next HF 2x PCR Master Mix and 7.5 </w:t>
      </w:r>
      <w:proofErr w:type="spellStart"/>
      <w:r w:rsidRPr="001823ED">
        <w:t>μl</w:t>
      </w:r>
      <w:proofErr w:type="spellEnd"/>
      <w:r w:rsidRPr="001823ED">
        <w:t xml:space="preserve"> sample making a 25 </w:t>
      </w:r>
      <w:proofErr w:type="spellStart"/>
      <w:r w:rsidRPr="001823ED">
        <w:t>μl</w:t>
      </w:r>
      <w:proofErr w:type="spellEnd"/>
      <w:r w:rsidRPr="001823ED">
        <w:t xml:space="preserve"> reaction volume. The first denaturation cycle was performed for 3 minutes at 98 </w:t>
      </w:r>
      <w:r w:rsidR="00DC304B" w:rsidRPr="001823ED">
        <w:t>°</w:t>
      </w:r>
      <w:r w:rsidRPr="001823ED">
        <w:t xml:space="preserve">C, followed by 15 cycles with a denaturation cycle of 30 seconds (at 98 </w:t>
      </w:r>
      <w:r w:rsidR="00DC304B" w:rsidRPr="001823ED">
        <w:t>°</w:t>
      </w:r>
      <w:r w:rsidRPr="001823ED">
        <w:t xml:space="preserve">C), an annealing cycle of 30 seconds (at 55 </w:t>
      </w:r>
      <w:r w:rsidR="00DC304B" w:rsidRPr="001823ED">
        <w:t>°</w:t>
      </w:r>
      <w:r w:rsidRPr="001823ED">
        <w:t xml:space="preserve">C), an extension cycle of 30 seconds (at 72 </w:t>
      </w:r>
      <w:r w:rsidR="00DC304B" w:rsidRPr="001823ED">
        <w:t>°</w:t>
      </w:r>
      <w:r w:rsidRPr="001823ED">
        <w:t xml:space="preserve">C), and a final extension cycle of 5 minutes at 72 </w:t>
      </w:r>
      <w:r w:rsidR="00DC304B" w:rsidRPr="001823ED">
        <w:t>°</w:t>
      </w:r>
      <w:r w:rsidRPr="001823ED">
        <w:t xml:space="preserve">C. </w:t>
      </w:r>
      <w:proofErr w:type="spellStart"/>
      <w:r w:rsidRPr="001823ED">
        <w:t>AMPure</w:t>
      </w:r>
      <w:proofErr w:type="spellEnd"/>
      <w:r w:rsidRPr="001823ED">
        <w:t xml:space="preserve"> beads were then used to purify PCR products as explained above, also using a 1:1 bead-to-sample ratio. Each PCR run also had a negative control (10 </w:t>
      </w:r>
      <w:proofErr w:type="spellStart"/>
      <w:r w:rsidRPr="001823ED">
        <w:t>μl</w:t>
      </w:r>
      <w:proofErr w:type="spellEnd"/>
      <w:r w:rsidRPr="001823ED">
        <w:t xml:space="preserve"> of nuclease-free water instead of 9 </w:t>
      </w:r>
      <w:proofErr w:type="spellStart"/>
      <w:r w:rsidRPr="001823ED">
        <w:t>μl</w:t>
      </w:r>
      <w:proofErr w:type="spellEnd"/>
      <w:r w:rsidRPr="001823ED">
        <w:t xml:space="preserve"> of nuclease-free water and 1 </w:t>
      </w:r>
      <w:proofErr w:type="spellStart"/>
      <w:r w:rsidRPr="001823ED">
        <w:t>μl</w:t>
      </w:r>
      <w:proofErr w:type="spellEnd"/>
      <w:r w:rsidRPr="001823ED">
        <w:t xml:space="preserve"> of DNA) to identify contaminants, and 10 </w:t>
      </w:r>
      <w:proofErr w:type="spellStart"/>
      <w:r w:rsidRPr="001823ED">
        <w:t>μl</w:t>
      </w:r>
      <w:proofErr w:type="spellEnd"/>
      <w:r w:rsidRPr="001823ED">
        <w:t xml:space="preserve"> of 0.2 ng/</w:t>
      </w:r>
      <w:proofErr w:type="spellStart"/>
      <w:r w:rsidRPr="001823ED">
        <w:t>μl</w:t>
      </w:r>
      <w:proofErr w:type="spellEnd"/>
      <w:r w:rsidRPr="001823ED">
        <w:t xml:space="preserve"> </w:t>
      </w:r>
      <w:proofErr w:type="spellStart"/>
      <w:r w:rsidRPr="001823ED">
        <w:t>ZymoBiomics</w:t>
      </w:r>
      <w:proofErr w:type="spellEnd"/>
      <w:r w:rsidRPr="001823ED">
        <w:t xml:space="preserve"> Microbial Community DNA standard (</w:t>
      </w:r>
      <w:proofErr w:type="spellStart"/>
      <w:r w:rsidRPr="001823ED">
        <w:t>Zymo</w:t>
      </w:r>
      <w:proofErr w:type="spellEnd"/>
      <w:r w:rsidRPr="001823ED">
        <w:t xml:space="preserve"> Research Corp, Irvine, CA, USA), a commercially available positive control. The PCR runs also included the DNA extraction negative controls. DNA collected from the same participant at different visits were included in the same PCR run</w:t>
      </w:r>
      <w:r w:rsidR="00DC304B" w:rsidRPr="001823ED">
        <w:t>s</w:t>
      </w:r>
      <w:r w:rsidRPr="001823ED">
        <w:t>. The Qubit Fluorometer with the dsDNA HS Assay kit (Invitrogen, Thermo Scientific, Paisley, UK) was used to measure PCR product DNA concentrations of each sample (including negative and positive controls). Two negative controls were not successfully amplified</w:t>
      </w:r>
      <w:r w:rsidR="00DC304B" w:rsidRPr="001823ED">
        <w:t xml:space="preserve"> and </w:t>
      </w:r>
      <w:r w:rsidRPr="001823ED">
        <w:t>were excl</w:t>
      </w:r>
      <w:r w:rsidR="00DC304B" w:rsidRPr="001823ED">
        <w:t xml:space="preserve">uded from the subsequent steps; </w:t>
      </w:r>
      <w:r w:rsidR="001F5BA1">
        <w:t>all participant</w:t>
      </w:r>
      <w:r w:rsidRPr="001823ED">
        <w:t xml:space="preserve"> samples, positive controls</w:t>
      </w:r>
      <w:r w:rsidR="00DC304B" w:rsidRPr="001823ED">
        <w:t>,</w:t>
      </w:r>
      <w:r w:rsidRPr="001823ED">
        <w:t xml:space="preserve"> and the remainder of the negative controls were </w:t>
      </w:r>
      <w:r w:rsidR="00DC304B" w:rsidRPr="001823ED">
        <w:t>used</w:t>
      </w:r>
      <w:r w:rsidRPr="001823ED">
        <w:t>.</w:t>
      </w:r>
    </w:p>
    <w:p w14:paraId="3439BDA4" w14:textId="77777777" w:rsidR="00DC304B" w:rsidRPr="001823ED" w:rsidRDefault="00DC304B" w:rsidP="009D21B5">
      <w:pPr>
        <w:widowControl w:val="0"/>
      </w:pPr>
    </w:p>
    <w:p w14:paraId="33AE5FE6" w14:textId="65421C04" w:rsidR="00411C71" w:rsidRPr="001823ED" w:rsidRDefault="007E73D2" w:rsidP="009D21B5">
      <w:pPr>
        <w:widowControl w:val="0"/>
      </w:pPr>
      <w:r w:rsidRPr="001823ED">
        <w:t xml:space="preserve">Amplicons from samples were evenly pooled into sequencing libraries at a mass of 0.8 ng DNA per amplicon. To achieve this, Qubit DNA concentrations and Fragment Analyzer (Agilent, Santa Clara, USA) quality control information were combined for pooling before size-selection using Pippin Prep (Sage Scientific, Beverly, Massachusetts, USA). Samples with a DNA concentration of &lt;0.30 ng/µl (such as the negative controls) were added in a fixed volume of 1 µl. The two libraries were sequenced on an Illumina </w:t>
      </w:r>
      <w:proofErr w:type="spellStart"/>
      <w:r w:rsidRPr="001823ED">
        <w:t>HiSeq</w:t>
      </w:r>
      <w:proofErr w:type="spellEnd"/>
      <w:r w:rsidRPr="001823ED">
        <w:t xml:space="preserve"> instrument (Illumina, San Diego, CA, USA), </w:t>
      </w:r>
      <w:r w:rsidRPr="001823ED">
        <w:rPr>
          <w:bCs/>
        </w:rPr>
        <w:t>run in rapid mode, 2x300bp using a 250PE and 50PE kit</w:t>
      </w:r>
      <w:r w:rsidRPr="001823ED">
        <w:t>. DNA collected from the same participant at different visits was included in the same library.</w:t>
      </w:r>
    </w:p>
    <w:p w14:paraId="5D99CEF4" w14:textId="059FB322" w:rsidR="00E96A6C" w:rsidRPr="001823ED" w:rsidRDefault="00E96A6C" w:rsidP="009D21B5">
      <w:pPr>
        <w:widowControl w:val="0"/>
      </w:pPr>
    </w:p>
    <w:p w14:paraId="5AA7D3E0" w14:textId="6D86C5D2" w:rsidR="00CB2465" w:rsidRPr="001823ED" w:rsidRDefault="00CB2465" w:rsidP="009D21B5">
      <w:pPr>
        <w:widowControl w:val="0"/>
        <w:rPr>
          <w:i/>
        </w:rPr>
      </w:pPr>
      <w:proofErr w:type="spellStart"/>
      <w:r w:rsidRPr="001823ED">
        <w:rPr>
          <w:i/>
        </w:rPr>
        <w:t>Panbacterial</w:t>
      </w:r>
      <w:proofErr w:type="spellEnd"/>
      <w:r w:rsidRPr="001823ED">
        <w:rPr>
          <w:i/>
        </w:rPr>
        <w:t xml:space="preserve"> 16S rRNA gene qPCR</w:t>
      </w:r>
    </w:p>
    <w:p w14:paraId="235B7983" w14:textId="2201AA63" w:rsidR="00CB2465" w:rsidRPr="001823ED" w:rsidRDefault="00CB2465" w:rsidP="009D21B5">
      <w:pPr>
        <w:widowControl w:val="0"/>
      </w:pPr>
      <w:r w:rsidRPr="001823ED">
        <w:t xml:space="preserve">Extracted DNA from all participant samples (706 samples from 364 participants) was sent to the Institute for Genome Sciences of the University of Maryland (Baltimore, MD, USA) for estimation of the </w:t>
      </w:r>
      <w:proofErr w:type="spellStart"/>
      <w:r w:rsidRPr="001823ED">
        <w:t>panbacterial</w:t>
      </w:r>
      <w:proofErr w:type="spellEnd"/>
      <w:r w:rsidRPr="001823ED">
        <w:t xml:space="preserve"> 16S rRNA gene copy concentration using the </w:t>
      </w:r>
      <w:proofErr w:type="spellStart"/>
      <w:r w:rsidRPr="001823ED">
        <w:t>BactQuant</w:t>
      </w:r>
      <w:proofErr w:type="spellEnd"/>
      <w:r w:rsidRPr="001823ED">
        <w:t xml:space="preserve"> qPCR assay. This assay is based on an analyses of 4,938 16S rRNA gene sequences in the </w:t>
      </w:r>
      <w:proofErr w:type="spellStart"/>
      <w:r w:rsidRPr="001823ED">
        <w:t>Greengenes</w:t>
      </w:r>
      <w:proofErr w:type="spellEnd"/>
      <w:r w:rsidRPr="001823ED">
        <w:t xml:space="preserve"> database.</w:t>
      </w:r>
      <w:r w:rsidRPr="001823ED">
        <w:rPr>
          <w:vertAlign w:val="superscript"/>
        </w:rPr>
        <w:t>9,10</w:t>
      </w:r>
      <w:r w:rsidRPr="001823ED">
        <w:t xml:space="preserve"> The analysis was performed as described previously.</w:t>
      </w:r>
      <w:r w:rsidRPr="001823ED">
        <w:rPr>
          <w:vertAlign w:val="superscript"/>
        </w:rPr>
        <w:t>10,11</w:t>
      </w:r>
      <w:r w:rsidRPr="001823ED">
        <w:t xml:space="preserve"> Briefly, 1.5 </w:t>
      </w:r>
      <w:proofErr w:type="spellStart"/>
      <w:r w:rsidRPr="001823ED">
        <w:t>μl</w:t>
      </w:r>
      <w:proofErr w:type="spellEnd"/>
      <w:r w:rsidRPr="001823ED">
        <w:t xml:space="preserve"> of template (1:10 diluted DNA) was added to 3.5 </w:t>
      </w:r>
      <w:proofErr w:type="spellStart"/>
      <w:r w:rsidRPr="001823ED">
        <w:t>μl</w:t>
      </w:r>
      <w:proofErr w:type="spellEnd"/>
      <w:r w:rsidRPr="001823ED">
        <w:t xml:space="preserve"> of reaction mix, with the final reaction containing 1.8 </w:t>
      </w:r>
      <w:proofErr w:type="spellStart"/>
      <w:r w:rsidRPr="001823ED">
        <w:t>μM</w:t>
      </w:r>
      <w:proofErr w:type="spellEnd"/>
      <w:r w:rsidRPr="001823ED">
        <w:t xml:space="preserve"> each of the forward (341F) and reverse (806R) primer targeting the 16S V3-V4 region, 225 </w:t>
      </w:r>
      <w:proofErr w:type="spellStart"/>
      <w:r w:rsidRPr="001823ED">
        <w:t>nM</w:t>
      </w:r>
      <w:proofErr w:type="spellEnd"/>
      <w:r w:rsidRPr="001823ED">
        <w:t xml:space="preserve"> of the </w:t>
      </w:r>
      <w:proofErr w:type="spellStart"/>
      <w:r w:rsidRPr="001823ED">
        <w:t>TaqManW</w:t>
      </w:r>
      <w:proofErr w:type="spellEnd"/>
      <w:r w:rsidRPr="001823ED">
        <w:t xml:space="preserve"> probe, 1x Platinum Quantitative PCR </w:t>
      </w:r>
      <w:proofErr w:type="spellStart"/>
      <w:r w:rsidRPr="001823ED">
        <w:t>SuperMix</w:t>
      </w:r>
      <w:proofErr w:type="spellEnd"/>
      <w:r w:rsidRPr="001823ED">
        <w:t xml:space="preserve">-UDG with ROX (Invitrogen, Thermo Scientific, Waltham, MA, USA) and molecular-grade water. </w:t>
      </w:r>
      <w:r w:rsidR="005223A5" w:rsidRPr="001823ED">
        <w:t>Each sample, including no template controls, were assayed</w:t>
      </w:r>
      <w:r w:rsidRPr="001823ED">
        <w:t xml:space="preserve"> in triplicate. An in-run standard curve (ranging from 10 to 10</w:t>
      </w:r>
      <w:r w:rsidRPr="001823ED">
        <w:rPr>
          <w:vertAlign w:val="superscript"/>
        </w:rPr>
        <w:t>8</w:t>
      </w:r>
      <w:r w:rsidRPr="001823ED">
        <w:t>, with 10</w:t>
      </w:r>
      <w:r w:rsidRPr="001823ED">
        <w:rPr>
          <w:vertAlign w:val="superscript"/>
        </w:rPr>
        <w:t>2</w:t>
      </w:r>
      <w:r w:rsidRPr="001823ED">
        <w:t>–10</w:t>
      </w:r>
      <w:r w:rsidRPr="001823ED">
        <w:rPr>
          <w:vertAlign w:val="superscript"/>
        </w:rPr>
        <w:t>8</w:t>
      </w:r>
      <w:r w:rsidRPr="001823ED">
        <w:t xml:space="preserve"> in 10-fold serial linear dilutions) was used</w:t>
      </w:r>
      <w:r w:rsidR="005223A5" w:rsidRPr="001823ED">
        <w:t xml:space="preserve"> in each run</w:t>
      </w:r>
      <w:r w:rsidRPr="001823ED">
        <w:t>. Amplification and real-time fluorescence detections were performed on the Bio-Rad CFX 384 instrument (Bio-Rad Inc., Hercules, CA, USA). The PCR conditions were: 3 minutes at 50 °C for UDG treatment, 10 minutes at 95 °C for Taq activation, 15 seconds at 95 °C for denaturation and 1 minute at 60 °C for annealing and extension, times 40 cycles. Cycle threshold (Ct) value for each 16S qPCR reaction were obtained using a manual Ct threshold of 0.05 and automatic baseline. The 16S rRNA gene concentration was reported in copies/</w:t>
      </w:r>
      <w:proofErr w:type="spellStart"/>
      <w:r w:rsidRPr="001823ED">
        <w:t>μL</w:t>
      </w:r>
      <w:proofErr w:type="spellEnd"/>
      <w:r w:rsidRPr="001823ED">
        <w:t xml:space="preserve"> for each sample. </w:t>
      </w:r>
    </w:p>
    <w:p w14:paraId="1572C860" w14:textId="77777777" w:rsidR="00CB2465" w:rsidRPr="001823ED" w:rsidRDefault="00CB2465" w:rsidP="009D21B5">
      <w:pPr>
        <w:widowControl w:val="0"/>
      </w:pPr>
    </w:p>
    <w:p w14:paraId="28BDB98F" w14:textId="310F9CB5" w:rsidR="00CB2465" w:rsidRPr="001823ED" w:rsidRDefault="00CB2465" w:rsidP="0086354C">
      <w:pPr>
        <w:widowControl w:val="0"/>
      </w:pPr>
      <w:r w:rsidRPr="001823ED">
        <w:t xml:space="preserve">Quality control of the </w:t>
      </w:r>
      <w:proofErr w:type="spellStart"/>
      <w:r w:rsidRPr="001823ED">
        <w:t>BactQuant</w:t>
      </w:r>
      <w:proofErr w:type="spellEnd"/>
      <w:r w:rsidRPr="001823ED">
        <w:t xml:space="preserve"> assay was performed by excluding samples that did not amplify in two of three, or all thre</w:t>
      </w:r>
      <w:r w:rsidR="005223A5" w:rsidRPr="001823ED">
        <w:t>e, of the triplicate assays</w:t>
      </w:r>
      <w:r w:rsidRPr="001823ED">
        <w:t>, or had skewed low 16S rRNA gene concentration results of &lt;1,000 copies/</w:t>
      </w:r>
      <w:proofErr w:type="spellStart"/>
      <w:r w:rsidRPr="001823ED">
        <w:t>μl</w:t>
      </w:r>
      <w:proofErr w:type="spellEnd"/>
      <w:r w:rsidRPr="001823ED">
        <w:t>.</w:t>
      </w:r>
      <w:r w:rsidR="00CC1E39" w:rsidRPr="001823ED">
        <w:t xml:space="preserve"> This wa</w:t>
      </w:r>
      <w:r w:rsidR="00A64D54">
        <w:t>s the case for 31 of 706 samples</w:t>
      </w:r>
      <w:r w:rsidR="00CC1E39" w:rsidRPr="001823ED">
        <w:t>.</w:t>
      </w:r>
    </w:p>
    <w:p w14:paraId="42C332DE" w14:textId="09F1A615" w:rsidR="00492ACD" w:rsidRPr="001823ED" w:rsidRDefault="00C47C7C" w:rsidP="009D21B5">
      <w:pPr>
        <w:pStyle w:val="Heading2"/>
        <w:keepNext w:val="0"/>
        <w:keepLines w:val="0"/>
        <w:widowControl w:val="0"/>
      </w:pPr>
      <w:bookmarkStart w:id="13" w:name="_Toc69722986"/>
      <w:r w:rsidRPr="001823ED">
        <w:lastRenderedPageBreak/>
        <w:t xml:space="preserve">Molecular </w:t>
      </w:r>
      <w:r w:rsidR="00B952BF" w:rsidRPr="001823ED">
        <w:t>d</w:t>
      </w:r>
      <w:r w:rsidR="00492ACD" w:rsidRPr="001823ED">
        <w:t>ata processing</w:t>
      </w:r>
      <w:bookmarkEnd w:id="13"/>
    </w:p>
    <w:p w14:paraId="52C979D1" w14:textId="25DC83ED" w:rsidR="00492ACD" w:rsidRPr="001823ED" w:rsidRDefault="00492ACD" w:rsidP="009D21B5">
      <w:pPr>
        <w:pStyle w:val="Heading3"/>
        <w:keepNext w:val="0"/>
        <w:keepLines w:val="0"/>
        <w:widowControl w:val="0"/>
        <w:spacing w:before="0" w:line="240" w:lineRule="auto"/>
        <w:rPr>
          <w:rFonts w:asciiTheme="minorHAnsi" w:hAnsiTheme="minorHAnsi"/>
          <w:i/>
          <w:color w:val="auto"/>
          <w:szCs w:val="22"/>
        </w:rPr>
      </w:pPr>
    </w:p>
    <w:p w14:paraId="275D8A53" w14:textId="010C45EE" w:rsidR="00AB503E" w:rsidRPr="001823ED" w:rsidRDefault="00AB503E" w:rsidP="009D21B5">
      <w:pPr>
        <w:widowControl w:val="0"/>
        <w:rPr>
          <w:i/>
          <w:lang w:eastAsia="en-US"/>
        </w:rPr>
      </w:pPr>
      <w:r w:rsidRPr="001823ED">
        <w:rPr>
          <w:i/>
          <w:lang w:eastAsia="en-US"/>
        </w:rPr>
        <w:t>Sequencing data processing</w:t>
      </w:r>
    </w:p>
    <w:p w14:paraId="1FF5613D" w14:textId="70FAD4CE" w:rsidR="00AB503E" w:rsidRPr="001823ED" w:rsidRDefault="0023126F" w:rsidP="009D21B5">
      <w:pPr>
        <w:widowControl w:val="0"/>
        <w:rPr>
          <w:lang w:eastAsia="en-US"/>
        </w:rPr>
      </w:pPr>
      <w:r w:rsidRPr="001823ED">
        <w:rPr>
          <w:lang w:eastAsia="en-US"/>
        </w:rPr>
        <w:t>The</w:t>
      </w:r>
      <w:r w:rsidR="00AB503E" w:rsidRPr="001823ED">
        <w:rPr>
          <w:lang w:eastAsia="en-US"/>
        </w:rPr>
        <w:t xml:space="preserve"> mean raw unpaired </w:t>
      </w:r>
      <w:r w:rsidR="00AB503E" w:rsidRPr="00440B2D">
        <w:rPr>
          <w:lang w:eastAsia="en-US"/>
        </w:rPr>
        <w:t>read c</w:t>
      </w:r>
      <w:r w:rsidRPr="008225FC">
        <w:rPr>
          <w:lang w:eastAsia="en-US"/>
        </w:rPr>
        <w:t xml:space="preserve">ount of </w:t>
      </w:r>
      <w:r w:rsidRPr="008C30B2">
        <w:rPr>
          <w:lang w:eastAsia="en-US"/>
        </w:rPr>
        <w:t>all 706 samples from 364 participants</w:t>
      </w:r>
      <w:r w:rsidRPr="00440B2D">
        <w:rPr>
          <w:lang w:eastAsia="en-US"/>
        </w:rPr>
        <w:t xml:space="preserve"> was 368,205 reads per </w:t>
      </w:r>
      <w:r w:rsidR="00AB503E" w:rsidRPr="008225FC">
        <w:rPr>
          <w:lang w:eastAsia="en-US"/>
        </w:rPr>
        <w:t>sample (95% confidence interval (CI)</w:t>
      </w:r>
      <w:r w:rsidRPr="00E07E09">
        <w:rPr>
          <w:lang w:eastAsia="en-US"/>
        </w:rPr>
        <w:t xml:space="preserve"> 353,388 – 383,022 reads)</w:t>
      </w:r>
      <w:r w:rsidR="00AB503E" w:rsidRPr="00E07E09">
        <w:rPr>
          <w:lang w:eastAsia="en-US"/>
        </w:rPr>
        <w:t xml:space="preserve">. </w:t>
      </w:r>
      <w:proofErr w:type="spellStart"/>
      <w:r w:rsidR="00AB503E" w:rsidRPr="00E07E09">
        <w:rPr>
          <w:lang w:eastAsia="en-US"/>
        </w:rPr>
        <w:t>Cutadapt</w:t>
      </w:r>
      <w:proofErr w:type="spellEnd"/>
      <w:r w:rsidR="00AB503E" w:rsidRPr="00E07E09">
        <w:rPr>
          <w:lang w:eastAsia="en-US"/>
        </w:rPr>
        <w:t xml:space="preserve"> v1</w:t>
      </w:r>
      <w:r w:rsidR="00AB503E" w:rsidRPr="001823ED">
        <w:rPr>
          <w:lang w:eastAsia="en-US"/>
        </w:rPr>
        <w:t>.16</w:t>
      </w:r>
      <w:r w:rsidR="00AB503E" w:rsidRPr="001823ED">
        <w:rPr>
          <w:vertAlign w:val="superscript"/>
          <w:lang w:eastAsia="en-US"/>
        </w:rPr>
        <w:t>12</w:t>
      </w:r>
      <w:r w:rsidR="00AB503E" w:rsidRPr="001823ED">
        <w:rPr>
          <w:lang w:eastAsia="en-US"/>
        </w:rPr>
        <w:t xml:space="preserve"> wa</w:t>
      </w:r>
      <w:r w:rsidR="00106319" w:rsidRPr="001823ED">
        <w:rPr>
          <w:lang w:eastAsia="en-US"/>
        </w:rPr>
        <w:t>s used to demultiplex the reads</w:t>
      </w:r>
      <w:r w:rsidR="00AB503E" w:rsidRPr="001823ED">
        <w:rPr>
          <w:lang w:eastAsia="en-US"/>
        </w:rPr>
        <w:t xml:space="preserve"> and remove primer sequences. All subsequent steps were performed in DADA2 version 1.8 package for large paired-end datasets in R version 3.5.1 (R core team, 2015).</w:t>
      </w:r>
      <w:r w:rsidR="00AB503E" w:rsidRPr="001823ED">
        <w:rPr>
          <w:vertAlign w:val="superscript"/>
          <w:lang w:eastAsia="en-US"/>
        </w:rPr>
        <w:t>13</w:t>
      </w:r>
      <w:r w:rsidR="00AB503E" w:rsidRPr="001823ED">
        <w:rPr>
          <w:lang w:eastAsia="en-US"/>
        </w:rPr>
        <w:t xml:space="preserve"> DADA2 was chosen because of its ability to resolve reads to a single nucleotide. The </w:t>
      </w:r>
      <w:proofErr w:type="spellStart"/>
      <w:r w:rsidR="00AB503E" w:rsidRPr="001823ED">
        <w:rPr>
          <w:lang w:eastAsia="en-US"/>
        </w:rPr>
        <w:t>fastqFilter</w:t>
      </w:r>
      <w:proofErr w:type="spellEnd"/>
      <w:r w:rsidR="00AB503E" w:rsidRPr="001823ED">
        <w:rPr>
          <w:lang w:eastAsia="en-US"/>
        </w:rPr>
        <w:t xml:space="preserve"> command was used for error correction with parameter settings aiming to maximize read retention. The minimum read lengths (</w:t>
      </w:r>
      <w:proofErr w:type="spellStart"/>
      <w:r w:rsidR="00AB503E" w:rsidRPr="001823ED">
        <w:rPr>
          <w:lang w:eastAsia="en-US"/>
        </w:rPr>
        <w:t>truncLen</w:t>
      </w:r>
      <w:proofErr w:type="spellEnd"/>
      <w:r w:rsidR="00AB503E" w:rsidRPr="001823ED">
        <w:rPr>
          <w:lang w:eastAsia="en-US"/>
        </w:rPr>
        <w:t xml:space="preserve">) were set to 255 for forward reads and 210 for reverse reads based on the quality plots, </w:t>
      </w:r>
      <w:proofErr w:type="spellStart"/>
      <w:r w:rsidR="00AB503E" w:rsidRPr="001823ED">
        <w:rPr>
          <w:lang w:eastAsia="en-US"/>
        </w:rPr>
        <w:t>maxEE</w:t>
      </w:r>
      <w:proofErr w:type="spellEnd"/>
      <w:r w:rsidR="00AB503E" w:rsidRPr="001823ED">
        <w:rPr>
          <w:lang w:eastAsia="en-US"/>
        </w:rPr>
        <w:t xml:space="preserve"> to a maximum of 5 f</w:t>
      </w:r>
      <w:r w:rsidR="00106319" w:rsidRPr="001823ED">
        <w:rPr>
          <w:lang w:eastAsia="en-US"/>
        </w:rPr>
        <w:t>or forward read and 8 for rever</w:t>
      </w:r>
      <w:r w:rsidR="00AB503E" w:rsidRPr="001823ED">
        <w:rPr>
          <w:lang w:eastAsia="en-US"/>
        </w:rPr>
        <w:t xml:space="preserve">se read expected errors, </w:t>
      </w:r>
      <w:proofErr w:type="spellStart"/>
      <w:r w:rsidR="00AB503E" w:rsidRPr="001823ED">
        <w:rPr>
          <w:lang w:eastAsia="en-US"/>
        </w:rPr>
        <w:t>maxN</w:t>
      </w:r>
      <w:proofErr w:type="spellEnd"/>
      <w:r w:rsidR="00AB503E" w:rsidRPr="001823ED">
        <w:rPr>
          <w:lang w:eastAsia="en-US"/>
        </w:rPr>
        <w:t xml:space="preserve"> to zero ambiguous bases allowed, and </w:t>
      </w:r>
      <w:proofErr w:type="spellStart"/>
      <w:r w:rsidR="00AB503E" w:rsidRPr="001823ED">
        <w:rPr>
          <w:lang w:eastAsia="en-US"/>
        </w:rPr>
        <w:t>truncQ</w:t>
      </w:r>
      <w:proofErr w:type="spellEnd"/>
      <w:r w:rsidR="00AB503E" w:rsidRPr="001823ED">
        <w:rPr>
          <w:lang w:eastAsia="en-US"/>
        </w:rPr>
        <w:t xml:space="preserve"> to zero. Approximately 10% of reads were discarded after error correction. The </w:t>
      </w:r>
      <w:proofErr w:type="spellStart"/>
      <w:r w:rsidR="00AB503E" w:rsidRPr="001823ED">
        <w:rPr>
          <w:lang w:eastAsia="en-US"/>
        </w:rPr>
        <w:t>learnErrors</w:t>
      </w:r>
      <w:proofErr w:type="spellEnd"/>
      <w:r w:rsidR="00AB503E" w:rsidRPr="001823ED">
        <w:rPr>
          <w:lang w:eastAsia="en-US"/>
        </w:rPr>
        <w:t xml:space="preserve"> command was then used to determine the read </w:t>
      </w:r>
      <w:r w:rsidR="00106319" w:rsidRPr="001823ED">
        <w:rPr>
          <w:lang w:eastAsia="en-US"/>
        </w:rPr>
        <w:t>error rates. The reads were</w:t>
      </w:r>
      <w:r w:rsidR="00AB503E" w:rsidRPr="001823ED">
        <w:rPr>
          <w:lang w:eastAsia="en-US"/>
        </w:rPr>
        <w:t xml:space="preserve"> assigned to unique amplicon sequence variants (ASVs, equivalent to a taxon) using the </w:t>
      </w:r>
      <w:proofErr w:type="spellStart"/>
      <w:r w:rsidR="00AB503E" w:rsidRPr="001823ED">
        <w:rPr>
          <w:lang w:eastAsia="en-US"/>
        </w:rPr>
        <w:t>derepFastq</w:t>
      </w:r>
      <w:proofErr w:type="spellEnd"/>
      <w:r w:rsidR="00AB503E" w:rsidRPr="001823ED">
        <w:rPr>
          <w:lang w:eastAsia="en-US"/>
        </w:rPr>
        <w:t xml:space="preserve"> command, and ASVs with higher than average error rates were discarded (denoised) using the dada command.</w:t>
      </w:r>
      <w:r w:rsidR="00AB503E" w:rsidRPr="001823ED">
        <w:rPr>
          <w:vertAlign w:val="superscript"/>
          <w:lang w:eastAsia="en-US"/>
        </w:rPr>
        <w:t>13,14</w:t>
      </w:r>
      <w:r w:rsidR="00AB503E" w:rsidRPr="001823ED">
        <w:rPr>
          <w:lang w:eastAsia="en-US"/>
        </w:rPr>
        <w:t xml:space="preserve"> </w:t>
      </w:r>
      <w:r w:rsidR="00106319" w:rsidRPr="001823ED">
        <w:rPr>
          <w:lang w:eastAsia="en-US"/>
        </w:rPr>
        <w:t xml:space="preserve">The </w:t>
      </w:r>
      <w:proofErr w:type="spellStart"/>
      <w:r w:rsidR="00106319" w:rsidRPr="001823ED">
        <w:rPr>
          <w:lang w:eastAsia="en-US"/>
        </w:rPr>
        <w:t>mergePairs</w:t>
      </w:r>
      <w:proofErr w:type="spellEnd"/>
      <w:r w:rsidR="00106319" w:rsidRPr="001823ED">
        <w:rPr>
          <w:lang w:eastAsia="en-US"/>
        </w:rPr>
        <w:t xml:space="preserve"> command was </w:t>
      </w:r>
      <w:r w:rsidR="00AB503E" w:rsidRPr="001823ED">
        <w:rPr>
          <w:lang w:eastAsia="en-US"/>
        </w:rPr>
        <w:t xml:space="preserve">used to merge forward and reverse reads. </w:t>
      </w:r>
      <w:r w:rsidR="001F5BA1">
        <w:rPr>
          <w:lang w:eastAsia="en-US"/>
        </w:rPr>
        <w:t xml:space="preserve">The </w:t>
      </w:r>
      <w:proofErr w:type="spellStart"/>
      <w:r w:rsidR="001F5BA1">
        <w:rPr>
          <w:lang w:eastAsia="en-US"/>
        </w:rPr>
        <w:t>removeBimeraDenovo</w:t>
      </w:r>
      <w:proofErr w:type="spellEnd"/>
      <w:r w:rsidR="001F5BA1">
        <w:rPr>
          <w:lang w:eastAsia="en-US"/>
        </w:rPr>
        <w:t xml:space="preserve"> command </w:t>
      </w:r>
      <w:r w:rsidR="00AB503E" w:rsidRPr="001823ED">
        <w:rPr>
          <w:lang w:eastAsia="en-US"/>
        </w:rPr>
        <w:t>was used to remove chimeric compositions of two separate parent ASVs (</w:t>
      </w:r>
      <w:proofErr w:type="spellStart"/>
      <w:r w:rsidR="00AB503E" w:rsidRPr="001823ED">
        <w:rPr>
          <w:lang w:eastAsia="en-US"/>
        </w:rPr>
        <w:t>Bimeras</w:t>
      </w:r>
      <w:proofErr w:type="spellEnd"/>
      <w:r w:rsidR="00AB503E" w:rsidRPr="001823ED">
        <w:rPr>
          <w:lang w:eastAsia="en-US"/>
        </w:rPr>
        <w:t>) with the Silva version 132 database as the reference database;</w:t>
      </w:r>
      <w:r w:rsidR="00AB503E" w:rsidRPr="001823ED">
        <w:rPr>
          <w:vertAlign w:val="superscript"/>
          <w:lang w:eastAsia="en-US"/>
        </w:rPr>
        <w:t>15</w:t>
      </w:r>
      <w:r w:rsidR="00AB503E" w:rsidRPr="001823ED">
        <w:rPr>
          <w:lang w:eastAsia="en-US"/>
        </w:rPr>
        <w:t xml:space="preserve"> 6.3% of ASVs were identified as </w:t>
      </w:r>
      <w:proofErr w:type="spellStart"/>
      <w:r w:rsidR="00AB503E" w:rsidRPr="001823ED">
        <w:rPr>
          <w:lang w:eastAsia="en-US"/>
        </w:rPr>
        <w:t>bimeric</w:t>
      </w:r>
      <w:proofErr w:type="spellEnd"/>
      <w:r w:rsidR="00AB503E" w:rsidRPr="001823ED">
        <w:rPr>
          <w:lang w:eastAsia="en-US"/>
        </w:rPr>
        <w:t xml:space="preserve"> and removed. Overall, a median of</w:t>
      </w:r>
      <w:r w:rsidRPr="001823ED">
        <w:rPr>
          <w:lang w:eastAsia="en-US"/>
        </w:rPr>
        <w:t xml:space="preserve"> 28% of the raw reads per </w:t>
      </w:r>
      <w:r w:rsidR="00AB503E" w:rsidRPr="001823ED">
        <w:rPr>
          <w:lang w:eastAsia="en-US"/>
        </w:rPr>
        <w:t>sample were removed during these DADA2 clean-up process</w:t>
      </w:r>
      <w:r w:rsidR="00106319" w:rsidRPr="001823ED">
        <w:rPr>
          <w:lang w:eastAsia="en-US"/>
        </w:rPr>
        <w:t>es</w:t>
      </w:r>
      <w:r w:rsidR="00AB503E" w:rsidRPr="001823ED">
        <w:rPr>
          <w:lang w:eastAsia="en-US"/>
        </w:rPr>
        <w:t>.</w:t>
      </w:r>
    </w:p>
    <w:p w14:paraId="04580F45" w14:textId="77777777" w:rsidR="00106319" w:rsidRPr="001823ED" w:rsidRDefault="00106319" w:rsidP="009D21B5">
      <w:pPr>
        <w:widowControl w:val="0"/>
        <w:rPr>
          <w:lang w:eastAsia="en-US"/>
        </w:rPr>
      </w:pPr>
    </w:p>
    <w:p w14:paraId="17BDE55B" w14:textId="2C77961A" w:rsidR="00AB503E" w:rsidRPr="001823ED" w:rsidRDefault="00AB503E" w:rsidP="009D21B5">
      <w:pPr>
        <w:widowControl w:val="0"/>
        <w:rPr>
          <w:lang w:eastAsia="en-US"/>
        </w:rPr>
      </w:pPr>
      <w:r w:rsidRPr="001823ED">
        <w:rPr>
          <w:lang w:eastAsia="en-US"/>
        </w:rPr>
        <w:t>DADA2 was used to perform taxonomic assignment in two steps. Firstly</w:t>
      </w:r>
      <w:r w:rsidR="00106319" w:rsidRPr="001823ED">
        <w:rPr>
          <w:lang w:eastAsia="en-US"/>
        </w:rPr>
        <w:t>,</w:t>
      </w:r>
      <w:r w:rsidRPr="001823ED">
        <w:rPr>
          <w:lang w:eastAsia="en-US"/>
        </w:rPr>
        <w:t xml:space="preserve"> </w:t>
      </w:r>
      <w:proofErr w:type="spellStart"/>
      <w:r w:rsidRPr="001823ED">
        <w:rPr>
          <w:lang w:eastAsia="en-US"/>
        </w:rPr>
        <w:t>assignTaxonomy</w:t>
      </w:r>
      <w:proofErr w:type="spellEnd"/>
      <w:r w:rsidRPr="001823ED">
        <w:rPr>
          <w:lang w:eastAsia="en-US"/>
        </w:rPr>
        <w:t xml:space="preserve"> was used to map ASVs to taxa at genus level or above using the RDP classifier with a minimum bootstrap value of 50% and the Silva v132 database as the reference database.</w:t>
      </w:r>
      <w:r w:rsidRPr="001823ED">
        <w:rPr>
          <w:vertAlign w:val="superscript"/>
          <w:lang w:eastAsia="en-US"/>
        </w:rPr>
        <w:t>15,16</w:t>
      </w:r>
      <w:r w:rsidRPr="001823ED">
        <w:rPr>
          <w:lang w:eastAsia="en-US"/>
        </w:rPr>
        <w:t xml:space="preserve"> Secondly</w:t>
      </w:r>
      <w:r w:rsidR="00106319" w:rsidRPr="001823ED">
        <w:rPr>
          <w:lang w:eastAsia="en-US"/>
        </w:rPr>
        <w:t>,</w:t>
      </w:r>
      <w:r w:rsidRPr="001823ED">
        <w:rPr>
          <w:lang w:eastAsia="en-US"/>
        </w:rPr>
        <w:t xml:space="preserve"> </w:t>
      </w:r>
      <w:proofErr w:type="spellStart"/>
      <w:r w:rsidRPr="001823ED">
        <w:rPr>
          <w:lang w:eastAsia="en-US"/>
        </w:rPr>
        <w:t>addSpecies</w:t>
      </w:r>
      <w:proofErr w:type="spellEnd"/>
      <w:r w:rsidRPr="001823ED">
        <w:rPr>
          <w:lang w:eastAsia="en-US"/>
        </w:rPr>
        <w:t xml:space="preserve"> was used to map ASVs to species level. Only ASVs with exact (100%) identity matches with species in the Silva database were assigned to each species.</w:t>
      </w:r>
    </w:p>
    <w:p w14:paraId="2C8B8D7A" w14:textId="77777777" w:rsidR="00361C44" w:rsidRPr="001823ED" w:rsidRDefault="00361C44" w:rsidP="009D21B5">
      <w:pPr>
        <w:widowControl w:val="0"/>
        <w:rPr>
          <w:lang w:eastAsia="en-US"/>
        </w:rPr>
      </w:pPr>
    </w:p>
    <w:p w14:paraId="0CC55468" w14:textId="6A0DBFFF" w:rsidR="00AB503E" w:rsidRPr="001823ED" w:rsidRDefault="00106319" w:rsidP="009D21B5">
      <w:pPr>
        <w:widowControl w:val="0"/>
        <w:rPr>
          <w:lang w:eastAsia="en-US"/>
        </w:rPr>
      </w:pPr>
      <w:r w:rsidRPr="001823ED">
        <w:rPr>
          <w:lang w:eastAsia="en-US"/>
        </w:rPr>
        <w:t xml:space="preserve">Next, a spreadsheet containing the sequences, taxonomic assignments, and read counts for each ASV per sample was imported into Microsoft Excel for Mac version 16. ASVs with a read count in all samples combined of less than 100 were removed, as well as two non-bacterial ASVs, and one likely contaminant ASV. The likely contaminant was a </w:t>
      </w:r>
      <w:proofErr w:type="spellStart"/>
      <w:r w:rsidRPr="001823ED">
        <w:rPr>
          <w:i/>
          <w:lang w:eastAsia="en-US"/>
        </w:rPr>
        <w:t>Cutibacterium</w:t>
      </w:r>
      <w:proofErr w:type="spellEnd"/>
      <w:r w:rsidRPr="001823ED">
        <w:rPr>
          <w:lang w:eastAsia="en-US"/>
        </w:rPr>
        <w:t xml:space="preserve"> genus that was present in two negative controls at a relative abundance that was higher than in any study sample. The Silva v132 database did not include the vaginal taxa BV-associated bacterium 1 (BVAB1), BVAB2 and BVAB TM7 sequences. These have, however, been published elsewhere</w:t>
      </w:r>
      <w:r w:rsidRPr="001823ED">
        <w:rPr>
          <w:vertAlign w:val="superscript"/>
          <w:lang w:eastAsia="en-US"/>
        </w:rPr>
        <w:t>17,18</w:t>
      </w:r>
      <w:r w:rsidRPr="001823ED">
        <w:rPr>
          <w:lang w:eastAsia="en-US"/>
        </w:rPr>
        <w:t xml:space="preserve"> and were manually identified in our dataset. We also searched for </w:t>
      </w:r>
      <w:proofErr w:type="spellStart"/>
      <w:r w:rsidRPr="001823ED">
        <w:rPr>
          <w:i/>
          <w:lang w:eastAsia="en-US"/>
        </w:rPr>
        <w:t>Mageeibacillus</w:t>
      </w:r>
      <w:proofErr w:type="spellEnd"/>
      <w:r w:rsidRPr="001823ED">
        <w:rPr>
          <w:i/>
          <w:lang w:eastAsia="en-US"/>
        </w:rPr>
        <w:t xml:space="preserve"> </w:t>
      </w:r>
      <w:proofErr w:type="spellStart"/>
      <w:r w:rsidRPr="001823ED">
        <w:rPr>
          <w:i/>
          <w:lang w:eastAsia="en-US"/>
        </w:rPr>
        <w:t>indolicus</w:t>
      </w:r>
      <w:proofErr w:type="spellEnd"/>
      <w:r w:rsidRPr="001823ED">
        <w:rPr>
          <w:lang w:eastAsia="en-US"/>
        </w:rPr>
        <w:t xml:space="preserve"> (BVAB3) and </w:t>
      </w:r>
      <w:proofErr w:type="spellStart"/>
      <w:r w:rsidRPr="001823ED">
        <w:rPr>
          <w:i/>
          <w:lang w:eastAsia="en-US"/>
        </w:rPr>
        <w:t>Fenollaria</w:t>
      </w:r>
      <w:proofErr w:type="spellEnd"/>
      <w:r w:rsidRPr="001823ED">
        <w:rPr>
          <w:i/>
          <w:lang w:eastAsia="en-US"/>
        </w:rPr>
        <w:t xml:space="preserve"> </w:t>
      </w:r>
      <w:proofErr w:type="spellStart"/>
      <w:r w:rsidRPr="001823ED">
        <w:rPr>
          <w:i/>
          <w:lang w:eastAsia="en-US"/>
        </w:rPr>
        <w:t>massiliensis</w:t>
      </w:r>
      <w:proofErr w:type="spellEnd"/>
      <w:r w:rsidRPr="001823ED">
        <w:rPr>
          <w:lang w:eastAsia="en-US"/>
        </w:rPr>
        <w:t xml:space="preserve"> sequences manually, but these were not identified. The taxonomic assignments derived from the Silva database were manually double-checked for the 112 ASVs with a relative abundance of at least 0.05% of the read count of all samples combined (out of a total of 1646 ASVs), using the Microbial Nucleotide BLAST (</w:t>
      </w:r>
      <w:proofErr w:type="spellStart"/>
      <w:r w:rsidRPr="001823ED">
        <w:rPr>
          <w:lang w:eastAsia="en-US"/>
        </w:rPr>
        <w:t>BLASTn</w:t>
      </w:r>
      <w:proofErr w:type="spellEnd"/>
      <w:r w:rsidRPr="001823ED">
        <w:rPr>
          <w:lang w:eastAsia="en-US"/>
        </w:rPr>
        <w:t xml:space="preserve">) function on the National </w:t>
      </w:r>
      <w:proofErr w:type="spellStart"/>
      <w:r w:rsidRPr="001823ED">
        <w:rPr>
          <w:lang w:eastAsia="en-US"/>
        </w:rPr>
        <w:t>Center</w:t>
      </w:r>
      <w:proofErr w:type="spellEnd"/>
      <w:r w:rsidRPr="001823ED">
        <w:rPr>
          <w:lang w:eastAsia="en-US"/>
        </w:rPr>
        <w:t xml:space="preserve"> for Biotechnology Information NCBI website.</w:t>
      </w:r>
      <w:r w:rsidRPr="001823ED">
        <w:rPr>
          <w:vertAlign w:val="superscript"/>
          <w:lang w:eastAsia="en-US"/>
        </w:rPr>
        <w:t>19</w:t>
      </w:r>
      <w:r w:rsidRPr="001823ED">
        <w:rPr>
          <w:lang w:eastAsia="en-US"/>
        </w:rPr>
        <w:t xml:space="preserve"> In cases of a discrepancy, the Vaginal 16S rDNA Reference Database was used as a tiebreaker.</w:t>
      </w:r>
      <w:r w:rsidRPr="001823ED">
        <w:rPr>
          <w:vertAlign w:val="superscript"/>
          <w:lang w:eastAsia="en-US"/>
        </w:rPr>
        <w:t>20</w:t>
      </w:r>
      <w:r w:rsidRPr="001823ED">
        <w:rPr>
          <w:lang w:eastAsia="en-US"/>
        </w:rPr>
        <w:t xml:space="preserve"> This resulted in 45 </w:t>
      </w:r>
      <w:r w:rsidRPr="001823ED">
        <w:rPr>
          <w:i/>
          <w:lang w:eastAsia="en-US"/>
        </w:rPr>
        <w:t>Lactobacillus</w:t>
      </w:r>
      <w:r w:rsidRPr="001823ED">
        <w:rPr>
          <w:lang w:eastAsia="en-US"/>
        </w:rPr>
        <w:t xml:space="preserve"> genus ASVs being reassigned to various </w:t>
      </w:r>
      <w:r w:rsidRPr="001823ED">
        <w:rPr>
          <w:i/>
          <w:lang w:eastAsia="en-US"/>
        </w:rPr>
        <w:t>Lactobacillus</w:t>
      </w:r>
      <w:r w:rsidRPr="001823ED">
        <w:rPr>
          <w:lang w:eastAsia="en-US"/>
        </w:rPr>
        <w:t xml:space="preserve"> species, two </w:t>
      </w:r>
      <w:r w:rsidRPr="001823ED">
        <w:rPr>
          <w:i/>
          <w:lang w:eastAsia="en-US"/>
        </w:rPr>
        <w:t>Streptococcus</w:t>
      </w:r>
      <w:r w:rsidRPr="001823ED">
        <w:rPr>
          <w:lang w:eastAsia="en-US"/>
        </w:rPr>
        <w:t xml:space="preserve"> genus ASVs being reassigned to </w:t>
      </w:r>
      <w:r w:rsidRPr="001823ED">
        <w:rPr>
          <w:i/>
          <w:lang w:eastAsia="en-US"/>
        </w:rPr>
        <w:t>S. agalactiae</w:t>
      </w:r>
      <w:r w:rsidRPr="001823ED">
        <w:rPr>
          <w:lang w:eastAsia="en-US"/>
        </w:rPr>
        <w:t xml:space="preserve">, a </w:t>
      </w:r>
      <w:r w:rsidRPr="001823ED">
        <w:rPr>
          <w:i/>
          <w:lang w:eastAsia="en-US"/>
        </w:rPr>
        <w:t xml:space="preserve">Staphylococcus </w:t>
      </w:r>
      <w:r w:rsidRPr="001823ED">
        <w:rPr>
          <w:lang w:eastAsia="en-US"/>
        </w:rPr>
        <w:t xml:space="preserve">genus being reassigned to </w:t>
      </w:r>
      <w:r w:rsidRPr="001823ED">
        <w:rPr>
          <w:i/>
          <w:lang w:eastAsia="en-US"/>
        </w:rPr>
        <w:t>S. aureus</w:t>
      </w:r>
      <w:r w:rsidRPr="001823ED">
        <w:rPr>
          <w:lang w:eastAsia="en-US"/>
        </w:rPr>
        <w:t xml:space="preserve">, a </w:t>
      </w:r>
      <w:r w:rsidRPr="001823ED">
        <w:rPr>
          <w:i/>
          <w:lang w:eastAsia="en-US"/>
        </w:rPr>
        <w:t>Gardnerella</w:t>
      </w:r>
      <w:r w:rsidRPr="001823ED">
        <w:rPr>
          <w:lang w:eastAsia="en-US"/>
        </w:rPr>
        <w:t xml:space="preserve"> genus ASV being reassigned to </w:t>
      </w:r>
      <w:r w:rsidRPr="001823ED">
        <w:rPr>
          <w:i/>
          <w:lang w:eastAsia="en-US"/>
        </w:rPr>
        <w:t>G. vaginalis</w:t>
      </w:r>
      <w:r w:rsidRPr="001823ED">
        <w:rPr>
          <w:lang w:eastAsia="en-US"/>
        </w:rPr>
        <w:t xml:space="preserve">, an </w:t>
      </w:r>
      <w:r w:rsidRPr="001823ED">
        <w:rPr>
          <w:i/>
          <w:lang w:eastAsia="en-US"/>
        </w:rPr>
        <w:t>Atopobium</w:t>
      </w:r>
      <w:r w:rsidRPr="001823ED">
        <w:rPr>
          <w:lang w:eastAsia="en-US"/>
        </w:rPr>
        <w:t xml:space="preserve"> genus ASV being reassigned to </w:t>
      </w:r>
      <w:r w:rsidRPr="001823ED">
        <w:rPr>
          <w:i/>
          <w:lang w:eastAsia="en-US"/>
        </w:rPr>
        <w:t>A. vaginae</w:t>
      </w:r>
      <w:r w:rsidRPr="001823ED">
        <w:rPr>
          <w:lang w:eastAsia="en-US"/>
        </w:rPr>
        <w:t xml:space="preserve">, a </w:t>
      </w:r>
      <w:proofErr w:type="spellStart"/>
      <w:r w:rsidRPr="001823ED">
        <w:rPr>
          <w:i/>
          <w:lang w:eastAsia="en-US"/>
        </w:rPr>
        <w:t>Sneathia</w:t>
      </w:r>
      <w:proofErr w:type="spellEnd"/>
      <w:r w:rsidRPr="001823ED">
        <w:rPr>
          <w:lang w:eastAsia="en-US"/>
        </w:rPr>
        <w:t xml:space="preserve"> genus ASV being reassigned to </w:t>
      </w:r>
      <w:r w:rsidRPr="001823ED">
        <w:rPr>
          <w:i/>
          <w:lang w:eastAsia="en-US"/>
        </w:rPr>
        <w:t xml:space="preserve">S. </w:t>
      </w:r>
      <w:proofErr w:type="spellStart"/>
      <w:r w:rsidRPr="001823ED">
        <w:rPr>
          <w:i/>
          <w:lang w:eastAsia="en-US"/>
        </w:rPr>
        <w:t>amnii</w:t>
      </w:r>
      <w:proofErr w:type="spellEnd"/>
      <w:r w:rsidRPr="001823ED">
        <w:rPr>
          <w:lang w:eastAsia="en-US"/>
        </w:rPr>
        <w:t xml:space="preserve"> and an </w:t>
      </w:r>
      <w:r w:rsidRPr="001823ED">
        <w:rPr>
          <w:i/>
          <w:lang w:eastAsia="en-US"/>
        </w:rPr>
        <w:t>Enterococcus</w:t>
      </w:r>
      <w:r w:rsidRPr="001823ED">
        <w:rPr>
          <w:lang w:eastAsia="en-US"/>
        </w:rPr>
        <w:t xml:space="preserve"> genus ASV being reassigned to </w:t>
      </w:r>
      <w:r w:rsidRPr="001823ED">
        <w:rPr>
          <w:i/>
          <w:lang w:eastAsia="en-US"/>
        </w:rPr>
        <w:t>E. faecalis</w:t>
      </w:r>
      <w:r w:rsidRPr="001823ED">
        <w:rPr>
          <w:lang w:eastAsia="en-US"/>
        </w:rPr>
        <w:t xml:space="preserve">. Read counts for ASVs assigned to the exact same taxonomy were then summed for each sample. The lowest total read count for any specific sample above 1000 reads was 1101, so </w:t>
      </w:r>
      <w:proofErr w:type="spellStart"/>
      <w:r w:rsidRPr="001823ED">
        <w:rPr>
          <w:lang w:eastAsia="en-US"/>
        </w:rPr>
        <w:t>GuniFrac</w:t>
      </w:r>
      <w:proofErr w:type="spellEnd"/>
      <w:r w:rsidRPr="001823ED">
        <w:rPr>
          <w:lang w:eastAsia="en-US"/>
        </w:rPr>
        <w:t xml:space="preserve"> 1.1 package in R was used to rarefy to 1101 reads. The rarefied ASV table contained 690 </w:t>
      </w:r>
      <w:r w:rsidR="00CC1E39" w:rsidRPr="001823ED">
        <w:rPr>
          <w:lang w:eastAsia="en-US"/>
        </w:rPr>
        <w:t xml:space="preserve">(of the original 706) </w:t>
      </w:r>
      <w:r w:rsidRPr="001823ED">
        <w:rPr>
          <w:lang w:eastAsia="en-US"/>
        </w:rPr>
        <w:t xml:space="preserve">samples and 290 unique ASVs. The </w:t>
      </w:r>
      <w:proofErr w:type="spellStart"/>
      <w:r w:rsidRPr="001823ED">
        <w:rPr>
          <w:lang w:eastAsia="en-US"/>
        </w:rPr>
        <w:t>prop.table</w:t>
      </w:r>
      <w:proofErr w:type="spellEnd"/>
      <w:r w:rsidRPr="001823ED">
        <w:rPr>
          <w:lang w:eastAsia="en-US"/>
        </w:rPr>
        <w:t xml:space="preserve"> function in R was then used to transform rarefied read counts into relative abundances.</w:t>
      </w:r>
    </w:p>
    <w:p w14:paraId="5EA75EF7" w14:textId="622D57F0" w:rsidR="00905D7E" w:rsidRPr="001823ED" w:rsidRDefault="00905D7E" w:rsidP="009D21B5">
      <w:pPr>
        <w:widowControl w:val="0"/>
        <w:rPr>
          <w:i/>
        </w:rPr>
      </w:pPr>
    </w:p>
    <w:p w14:paraId="36F6B3B2" w14:textId="14167FB5" w:rsidR="009576CD" w:rsidRPr="001823ED" w:rsidRDefault="009576CD" w:rsidP="009D21B5">
      <w:pPr>
        <w:widowControl w:val="0"/>
        <w:rPr>
          <w:i/>
        </w:rPr>
      </w:pPr>
      <w:r w:rsidRPr="001823ED">
        <w:rPr>
          <w:i/>
        </w:rPr>
        <w:t xml:space="preserve">Estimation of bacterial load and taxa concentration </w:t>
      </w:r>
    </w:p>
    <w:p w14:paraId="2F531F08" w14:textId="4240886C" w:rsidR="00411C71" w:rsidRPr="001823ED" w:rsidRDefault="009576CD" w:rsidP="009D21B5">
      <w:pPr>
        <w:widowControl w:val="0"/>
      </w:pPr>
      <w:r w:rsidRPr="001823ED">
        <w:t>The overall bacterial load and ASV-specific concentrations per sample we</w:t>
      </w:r>
      <w:r w:rsidR="008A7F54" w:rsidRPr="001823ED">
        <w:t xml:space="preserve">re estimated by combining </w:t>
      </w:r>
      <w:r w:rsidRPr="001823ED">
        <w:lastRenderedPageBreak/>
        <w:t xml:space="preserve">the sample-specific 16S rRNA gene concentration data </w:t>
      </w:r>
      <w:r w:rsidR="008A7F54" w:rsidRPr="001823ED">
        <w:t>with the rarefied ASV table. The 16S rDNA gene copy number was identified f</w:t>
      </w:r>
      <w:r w:rsidRPr="001823ED">
        <w:t xml:space="preserve">or each of the 276 unique ASVs </w:t>
      </w:r>
      <w:r w:rsidR="008A7F54" w:rsidRPr="001823ED">
        <w:t xml:space="preserve">in the final rarefied </w:t>
      </w:r>
      <w:r w:rsidRPr="001823ED">
        <w:t xml:space="preserve">ASV </w:t>
      </w:r>
      <w:r w:rsidR="008A7F54" w:rsidRPr="001823ED">
        <w:t xml:space="preserve">relative abundance </w:t>
      </w:r>
      <w:r w:rsidRPr="001823ED">
        <w:t xml:space="preserve">table </w:t>
      </w:r>
      <w:r w:rsidR="008A7F54" w:rsidRPr="001823ED">
        <w:t xml:space="preserve">using </w:t>
      </w:r>
      <w:r w:rsidRPr="001823ED">
        <w:t xml:space="preserve">the NCBI version of the </w:t>
      </w:r>
      <w:proofErr w:type="spellStart"/>
      <w:r w:rsidRPr="001823ED">
        <w:t>rrnDB</w:t>
      </w:r>
      <w:proofErr w:type="spellEnd"/>
      <w:r w:rsidRPr="001823ED">
        <w:t xml:space="preserve"> database,</w:t>
      </w:r>
      <w:r w:rsidRPr="001823ED">
        <w:rPr>
          <w:vertAlign w:val="superscript"/>
        </w:rPr>
        <w:t>21</w:t>
      </w:r>
      <w:r w:rsidRPr="001823ED">
        <w:t xml:space="preserve"> </w:t>
      </w:r>
      <w:r w:rsidR="008A7F54" w:rsidRPr="001823ED">
        <w:t xml:space="preserve">or the </w:t>
      </w:r>
      <w:proofErr w:type="spellStart"/>
      <w:r w:rsidR="008A7F54" w:rsidRPr="001823ED">
        <w:t>Greengenes</w:t>
      </w:r>
      <w:proofErr w:type="spellEnd"/>
      <w:r w:rsidR="008A7F54" w:rsidRPr="001823ED">
        <w:t xml:space="preserve"> database </w:t>
      </w:r>
      <w:r w:rsidRPr="001823ED">
        <w:t>in case of missing data.</w:t>
      </w:r>
      <w:r w:rsidRPr="001823ED">
        <w:rPr>
          <w:vertAlign w:val="superscript"/>
        </w:rPr>
        <w:t>9</w:t>
      </w:r>
      <w:r w:rsidRPr="001823ED">
        <w:t xml:space="preserve"> In situations where ASVs were mapped to multip</w:t>
      </w:r>
      <w:r w:rsidR="008A7F54" w:rsidRPr="001823ED">
        <w:t xml:space="preserve">le species at genus level, </w:t>
      </w:r>
      <w:r w:rsidRPr="001823ED">
        <w:t>the mean 16S gene copy number based on all poten</w:t>
      </w:r>
      <w:r w:rsidR="008A7F54" w:rsidRPr="001823ED">
        <w:t xml:space="preserve">tial species was </w:t>
      </w:r>
      <w:r w:rsidRPr="001823ED">
        <w:t xml:space="preserve">used. </w:t>
      </w:r>
      <w:r w:rsidR="008A7F54" w:rsidRPr="001823ED">
        <w:t xml:space="preserve">When </w:t>
      </w:r>
      <w:r w:rsidRPr="001823ED">
        <w:t xml:space="preserve">the mean 16S gene copy number of a species </w:t>
      </w:r>
      <w:r w:rsidR="008A7F54" w:rsidRPr="001823ED">
        <w:t xml:space="preserve">was not available, </w:t>
      </w:r>
      <w:r w:rsidRPr="001823ED">
        <w:t>the mean copy number of the corresponding genus was used. For BVAB1 and BVAB2 only ‘order’ level taxonomic information (</w:t>
      </w:r>
      <w:proofErr w:type="spellStart"/>
      <w:r w:rsidRPr="001823ED">
        <w:t>Clostridiales</w:t>
      </w:r>
      <w:proofErr w:type="spellEnd"/>
      <w:r w:rsidRPr="001823ED">
        <w:t xml:space="preserve"> order). </w:t>
      </w:r>
      <w:r w:rsidR="008A7F54" w:rsidRPr="001823ED">
        <w:t xml:space="preserve">We </w:t>
      </w:r>
      <w:r w:rsidRPr="001823ED">
        <w:t xml:space="preserve">used the </w:t>
      </w:r>
      <w:proofErr w:type="spellStart"/>
      <w:r w:rsidRPr="001823ED">
        <w:t>Clostridiales</w:t>
      </w:r>
      <w:proofErr w:type="spellEnd"/>
      <w:r w:rsidRPr="001823ED">
        <w:t xml:space="preserve"> order mean copy number (=4.62)</w:t>
      </w:r>
      <w:r w:rsidR="008A7F54" w:rsidRPr="001823ED">
        <w:t xml:space="preserve"> for BVAB1 and BVAB2 because data for lower level taxonomies were not available</w:t>
      </w:r>
      <w:r w:rsidRPr="001823ED">
        <w:t xml:space="preserve">. The ASV-specific copy-normalized rarefied relative abundance was </w:t>
      </w:r>
      <w:r w:rsidR="001F5BA1" w:rsidRPr="001823ED">
        <w:t>multiplied</w:t>
      </w:r>
      <w:r w:rsidRPr="001823ED">
        <w:t xml:space="preserve"> by the sample-specific 16S rRNA gene copies concentration to estimate the concentration of each ASV in cells/</w:t>
      </w:r>
      <w:proofErr w:type="spellStart"/>
      <w:r w:rsidRPr="001823ED">
        <w:t>μl</w:t>
      </w:r>
      <w:proofErr w:type="spellEnd"/>
      <w:r w:rsidRPr="001823ED">
        <w:t xml:space="preserve"> per sample. This method has previously been shown correlate with spec</w:t>
      </w:r>
      <w:r w:rsidR="008A7F54" w:rsidRPr="001823ED">
        <w:t>ies-specific q</w:t>
      </w:r>
      <w:r w:rsidRPr="001823ED">
        <w:t>PCR results for non-minority species.</w:t>
      </w:r>
      <w:r w:rsidRPr="001823ED">
        <w:rPr>
          <w:vertAlign w:val="superscript"/>
        </w:rPr>
        <w:t>22,23</w:t>
      </w:r>
      <w:r w:rsidRPr="001823ED">
        <w:t xml:space="preserve"> The</w:t>
      </w:r>
      <w:r w:rsidR="008A7F54" w:rsidRPr="001823ED">
        <w:t xml:space="preserve">se concentrations were </w:t>
      </w:r>
      <w:r w:rsidRPr="001823ED">
        <w:t>log</w:t>
      </w:r>
      <w:r w:rsidRPr="001823ED">
        <w:rPr>
          <w:vertAlign w:val="subscript"/>
        </w:rPr>
        <w:t>10</w:t>
      </w:r>
      <w:r w:rsidRPr="001823ED">
        <w:t>-transformed. To prevent skewed negative values</w:t>
      </w:r>
      <w:r w:rsidR="008A7F54" w:rsidRPr="001823ED">
        <w:t>,</w:t>
      </w:r>
      <w:r w:rsidRPr="001823ED">
        <w:t xml:space="preserve"> concentration results less than one cell/</w:t>
      </w:r>
      <w:proofErr w:type="spellStart"/>
      <w:r w:rsidRPr="001823ED">
        <w:t>μl</w:t>
      </w:r>
      <w:proofErr w:type="spellEnd"/>
      <w:r w:rsidRPr="001823ED">
        <w:t xml:space="preserve"> were set to one prior to log</w:t>
      </w:r>
      <w:r w:rsidRPr="001823ED">
        <w:rPr>
          <w:vertAlign w:val="subscript"/>
        </w:rPr>
        <w:t>10</w:t>
      </w:r>
      <w:r w:rsidRPr="001823ED">
        <w:t>-transformation.</w:t>
      </w:r>
    </w:p>
    <w:p w14:paraId="15724E5C" w14:textId="0332E469" w:rsidR="00812814" w:rsidRPr="001823ED" w:rsidRDefault="00812814" w:rsidP="009D21B5">
      <w:pPr>
        <w:widowControl w:val="0"/>
      </w:pPr>
    </w:p>
    <w:p w14:paraId="6070352D" w14:textId="5D205010" w:rsidR="00812814" w:rsidRPr="001823ED" w:rsidRDefault="00812814" w:rsidP="009D21B5">
      <w:pPr>
        <w:pStyle w:val="Heading2"/>
        <w:keepNext w:val="0"/>
        <w:keepLines w:val="0"/>
        <w:widowControl w:val="0"/>
      </w:pPr>
      <w:bookmarkStart w:id="14" w:name="_Toc69722987"/>
      <w:r w:rsidRPr="001823ED">
        <w:t xml:space="preserve">Selection of participants for </w:t>
      </w:r>
      <w:r w:rsidR="00161167" w:rsidRPr="001823ED">
        <w:t>nested case-control study</w:t>
      </w:r>
      <w:bookmarkEnd w:id="14"/>
    </w:p>
    <w:p w14:paraId="19E1224F" w14:textId="11761FAA" w:rsidR="00812814" w:rsidRPr="001823ED" w:rsidRDefault="00812814" w:rsidP="009D21B5">
      <w:pPr>
        <w:widowControl w:val="0"/>
      </w:pPr>
      <w:r w:rsidRPr="001823ED">
        <w:t>Within the high-risk group, 109 of 133 enrolled women were retained for analysis: 87 participants who gave birth ≥37</w:t>
      </w:r>
      <w:r w:rsidRPr="001823ED">
        <w:rPr>
          <w:vertAlign w:val="superscript"/>
        </w:rPr>
        <w:t xml:space="preserve">+0 </w:t>
      </w:r>
      <w:r w:rsidRPr="001823ED">
        <w:t>weeks gestation, without PPROM, and 22 participants who had sPTB or PPROM &lt;34</w:t>
      </w:r>
      <w:r w:rsidRPr="001823ED">
        <w:rPr>
          <w:vertAlign w:val="superscript"/>
        </w:rPr>
        <w:t>+0</w:t>
      </w:r>
      <w:r w:rsidRPr="001823ED">
        <w:t xml:space="preserve"> weeks gestation (main manuscript F</w:t>
      </w:r>
      <w:r w:rsidR="00B952BF" w:rsidRPr="001823ED">
        <w:t xml:space="preserve">igure 1). </w:t>
      </w:r>
      <w:r w:rsidRPr="001823ED">
        <w:t xml:space="preserve">High-risk participants were retained if they received </w:t>
      </w:r>
      <w:r w:rsidR="008C30B2">
        <w:t xml:space="preserve">PTB </w:t>
      </w:r>
      <w:r w:rsidRPr="001823ED">
        <w:t>prevention therapy after recruitment as long as the first sample available for analysis (i.e. a sample that passed quality control) was tak</w:t>
      </w:r>
      <w:r w:rsidR="008C30B2">
        <w:t xml:space="preserve">en prior to using PTB </w:t>
      </w:r>
      <w:r w:rsidRPr="001823ED">
        <w:t xml:space="preserve">prevention therapy. Iatrogenic preterm births </w:t>
      </w:r>
      <w:r w:rsidR="00B952BF" w:rsidRPr="001823ED">
        <w:t>(n=8) were excluded</w:t>
      </w:r>
      <w:r w:rsidR="008C30B2">
        <w:t>.</w:t>
      </w:r>
    </w:p>
    <w:p w14:paraId="281465CA" w14:textId="57D2A6DB" w:rsidR="00812814" w:rsidRPr="001823ED" w:rsidRDefault="00812814" w:rsidP="009D21B5">
      <w:pPr>
        <w:widowControl w:val="0"/>
      </w:pPr>
    </w:p>
    <w:p w14:paraId="7F43C492" w14:textId="338CC30F" w:rsidR="00812814" w:rsidRDefault="00812814" w:rsidP="009D21B5">
      <w:pPr>
        <w:widowControl w:val="0"/>
      </w:pPr>
      <w:r w:rsidRPr="001823ED">
        <w:t xml:space="preserve">Within the </w:t>
      </w:r>
      <w:r w:rsidR="001F5BA1">
        <w:t xml:space="preserve">low-risk group, </w:t>
      </w:r>
      <w:r w:rsidR="00CE1408" w:rsidRPr="001823ED">
        <w:t xml:space="preserve">145 </w:t>
      </w:r>
      <w:r w:rsidRPr="001823ED">
        <w:t xml:space="preserve">of 217 </w:t>
      </w:r>
      <w:r w:rsidR="00CE1408" w:rsidRPr="001823ED">
        <w:t xml:space="preserve">enrolled women </w:t>
      </w:r>
      <w:r w:rsidRPr="001823ED">
        <w:t>were retained for analysis</w:t>
      </w:r>
      <w:r w:rsidR="00CE1408" w:rsidRPr="001823ED">
        <w:t xml:space="preserve">. All of them </w:t>
      </w:r>
      <w:r w:rsidRPr="001823ED">
        <w:t xml:space="preserve">gave birth </w:t>
      </w:r>
      <w:r w:rsidR="00CE1408" w:rsidRPr="001823ED">
        <w:t xml:space="preserve">at </w:t>
      </w:r>
      <w:r w:rsidRPr="001823ED">
        <w:t>≥39</w:t>
      </w:r>
      <w:r w:rsidRPr="001823ED">
        <w:rPr>
          <w:vertAlign w:val="superscript"/>
        </w:rPr>
        <w:t xml:space="preserve">+0 </w:t>
      </w:r>
      <w:r w:rsidRPr="001823ED">
        <w:t xml:space="preserve">weeks gestation. </w:t>
      </w:r>
      <w:r w:rsidR="00CE1408" w:rsidRPr="001823ED">
        <w:t>W</w:t>
      </w:r>
      <w:r w:rsidRPr="001823ED">
        <w:t xml:space="preserve">e </w:t>
      </w:r>
      <w:r w:rsidR="00CE1408" w:rsidRPr="001823ED">
        <w:t xml:space="preserve">had </w:t>
      </w:r>
      <w:r w:rsidRPr="001823ED">
        <w:t xml:space="preserve">planned to exclude </w:t>
      </w:r>
      <w:r w:rsidR="00CE1408" w:rsidRPr="001823ED">
        <w:t xml:space="preserve">women </w:t>
      </w:r>
      <w:r w:rsidRPr="001823ED">
        <w:t xml:space="preserve">who received </w:t>
      </w:r>
      <w:r w:rsidR="00CE1408" w:rsidRPr="001823ED">
        <w:t>preterm birth prevention treatment</w:t>
      </w:r>
      <w:r w:rsidRPr="001823ED">
        <w:t>, but no</w:t>
      </w:r>
      <w:r w:rsidR="00CE1408" w:rsidRPr="001823ED">
        <w:t>ne of the women required such treatment</w:t>
      </w:r>
      <w:r w:rsidRPr="001823ED">
        <w:t>.</w:t>
      </w:r>
    </w:p>
    <w:p w14:paraId="3A23EBCB" w14:textId="0F19A051" w:rsidR="005311E0" w:rsidRDefault="005311E0" w:rsidP="009D21B5">
      <w:pPr>
        <w:widowControl w:val="0"/>
      </w:pPr>
    </w:p>
    <w:p w14:paraId="4BB5F0E1" w14:textId="77777777" w:rsidR="005311E0" w:rsidRDefault="005311E0" w:rsidP="005311E0">
      <w:pPr>
        <w:pStyle w:val="Heading2"/>
        <w:rPr>
          <w:i/>
          <w:iCs/>
        </w:rPr>
      </w:pPr>
      <w:bookmarkStart w:id="15" w:name="_Toc69722988"/>
      <w:r>
        <w:t xml:space="preserve">Rationale for low-risk term group gestation of birth </w:t>
      </w:r>
      <w:r w:rsidRPr="00006BC8">
        <w:rPr>
          <w:i/>
          <w:iCs/>
        </w:rPr>
        <w:t>≥39</w:t>
      </w:r>
      <w:r w:rsidRPr="00006BC8">
        <w:rPr>
          <w:i/>
          <w:iCs/>
          <w:vertAlign w:val="superscript"/>
        </w:rPr>
        <w:t>+0</w:t>
      </w:r>
      <w:r>
        <w:rPr>
          <w:i/>
          <w:iCs/>
          <w:vertAlign w:val="superscript"/>
        </w:rPr>
        <w:t xml:space="preserve"> </w:t>
      </w:r>
      <w:r>
        <w:rPr>
          <w:i/>
          <w:iCs/>
        </w:rPr>
        <w:t>weeks</w:t>
      </w:r>
      <w:bookmarkEnd w:id="15"/>
    </w:p>
    <w:p w14:paraId="1DE6C6F9" w14:textId="6E88E2EB" w:rsidR="005311E0" w:rsidRPr="008F27E6" w:rsidRDefault="005311E0" w:rsidP="005311E0">
      <w:pPr>
        <w:rPr>
          <w:rFonts w:eastAsiaTheme="minorHAnsi" w:cstheme="minorBidi"/>
          <w:szCs w:val="22"/>
          <w:lang w:eastAsia="en-US"/>
        </w:rPr>
      </w:pPr>
      <w:r w:rsidRPr="008F27E6">
        <w:rPr>
          <w:rFonts w:eastAsiaTheme="minorHAnsi" w:cstheme="minorBidi"/>
          <w:szCs w:val="22"/>
          <w:lang w:eastAsia="en-US"/>
        </w:rPr>
        <w:t>Within the low-risk group</w:t>
      </w:r>
      <w:r w:rsidR="0086354C">
        <w:rPr>
          <w:rFonts w:eastAsiaTheme="minorHAnsi" w:cstheme="minorBidi"/>
          <w:szCs w:val="22"/>
          <w:lang w:eastAsia="en-US"/>
        </w:rPr>
        <w:t>,</w:t>
      </w:r>
      <w:r w:rsidRPr="008F27E6">
        <w:rPr>
          <w:rFonts w:eastAsiaTheme="minorHAnsi" w:cstheme="minorBidi"/>
          <w:szCs w:val="22"/>
          <w:lang w:eastAsia="en-US"/>
        </w:rPr>
        <w:t xml:space="preserve"> we chose to restrict analysis to only women who gave birth ≥ 39</w:t>
      </w:r>
      <w:r w:rsidRPr="008F27E6">
        <w:rPr>
          <w:rFonts w:eastAsiaTheme="minorHAnsi" w:cstheme="minorBidi"/>
          <w:szCs w:val="22"/>
          <w:vertAlign w:val="superscript"/>
          <w:lang w:eastAsia="en-US"/>
        </w:rPr>
        <w:t>+0</w:t>
      </w:r>
      <w:r w:rsidRPr="008F27E6">
        <w:rPr>
          <w:rFonts w:eastAsiaTheme="minorHAnsi" w:cstheme="minorBidi"/>
          <w:szCs w:val="22"/>
          <w:lang w:eastAsia="en-US"/>
        </w:rPr>
        <w:t xml:space="preserve"> weeks gestation. </w:t>
      </w:r>
      <w:r w:rsidR="0086354C">
        <w:rPr>
          <w:rFonts w:eastAsiaTheme="minorHAnsi" w:cstheme="minorBidi"/>
          <w:szCs w:val="22"/>
          <w:lang w:eastAsia="en-US"/>
        </w:rPr>
        <w:t>P</w:t>
      </w:r>
      <w:r w:rsidRPr="008F27E6">
        <w:rPr>
          <w:rFonts w:eastAsiaTheme="minorHAnsi" w:cstheme="minorBidi"/>
          <w:szCs w:val="22"/>
          <w:lang w:eastAsia="en-US"/>
        </w:rPr>
        <w:t>revious work suggest</w:t>
      </w:r>
      <w:r w:rsidR="0086354C">
        <w:rPr>
          <w:rFonts w:eastAsiaTheme="minorHAnsi" w:cstheme="minorBidi"/>
          <w:szCs w:val="22"/>
          <w:lang w:eastAsia="en-US"/>
        </w:rPr>
        <w:t>ed</w:t>
      </w:r>
      <w:r w:rsidRPr="008F27E6">
        <w:rPr>
          <w:rFonts w:eastAsiaTheme="minorHAnsi" w:cstheme="minorBidi"/>
          <w:szCs w:val="22"/>
          <w:lang w:eastAsia="en-US"/>
        </w:rPr>
        <w:t xml:space="preserve"> that this should be considered the gestation of absolute ‘normality’</w:t>
      </w:r>
      <w:r w:rsidR="0086354C">
        <w:rPr>
          <w:rFonts w:eastAsiaTheme="minorHAnsi" w:cstheme="minorBidi"/>
          <w:szCs w:val="22"/>
          <w:lang w:eastAsia="en-US"/>
        </w:rPr>
        <w:t>,</w:t>
      </w:r>
      <w:r w:rsidRPr="008F27E6">
        <w:rPr>
          <w:rFonts w:eastAsiaTheme="minorHAnsi" w:cstheme="minorBidi"/>
          <w:szCs w:val="22"/>
          <w:lang w:eastAsia="en-US"/>
        </w:rPr>
        <w:fldChar w:fldCharType="begin" w:fldLock="1"/>
      </w:r>
      <w:r w:rsidR="003335F9">
        <w:rPr>
          <w:rFonts w:eastAsiaTheme="minorHAnsi" w:cstheme="minorBidi"/>
          <w:szCs w:val="22"/>
          <w:lang w:eastAsia="en-US"/>
        </w:rPr>
        <w:instrText>ADDIN CSL_CITATION {"citationItems":[{"id":"ITEM-1","itemData":{"DOI":"10.1016/j.ajog.2011.10.865","ISSN":"00029378","author":[{"dropping-particle":"","family":"Goldenberg","given":"Robert L.","non-dropping-particle":"","parse-names":false,"suffix":""},{"dropping-particle":"","family":"Gravett","given":"Michael G.","non-dropping-particle":"","parse-names":false,"suffix":""},{"dropping-particle":"","family":"Conde-Agudelo","given":"Augustin","non-dropping-particle":"","parse-names":false,"suffix":""},{"dropping-particle":"","family":"Bhutta","given":"Zulfiqar A.","non-dropping-particle":"","parse-names":false,"suffix":""},{"dropping-particle":"","family":"Barros","given":"Fernando","non-dropping-particle":"","parse-names":false,"suffix":""},{"dropping-particle":"","family":"Villar","given":"Jose","non-dropping-particle":"","parse-names":false,"suffix":""},{"dropping-particle":"","family":"Kramer","given":"Michael","non-dropping-particle":"","parse-names":false,"suffix":""},{"dropping-particle":"","family":"Waller","given":"Sarah A.","non-dropping-particle":"","parse-names":false,"suffix":""},{"dropping-particle":"","family":"Culhane","given":"Jennifer","non-dropping-particle":"","parse-names":false,"suffix":""},{"dropping-particle":"","family":"Knight","given":"Hannah E.","non-dropping-particle":"","parse-names":false,"suffix":""},{"dropping-particle":"","family":"Iams","given":"Jay","non-dropping-particle":"","parse-names":false,"suffix":""},{"dropping-particle":"","family":"Papageorghiou","given":"Aris T.","non-dropping-particle":"","parse-names":false,"suffix":""}],"container-title":"American Journal of Obstetrics and Gynecology","id":"ITEM-1","issue":"2","issued":{"date-parts":[["2011"]]},"page":"113-118","publisher":"Elsevier Inc.","title":"The preterm birth syndrome: issues to consider in creating a classification system","type":"article-journal","volume":"206"},"uris":["http://www.mendeley.com/documents/?uuid=056b08a7-0e2f-4815-a3c8-2f214010a154"]}],"mendeley":{"formattedCitation":"&lt;sup&gt;12&lt;/sup&gt;","plainTextFormattedCitation":"12","previouslyFormattedCitation":"&lt;sup&gt;12&lt;/sup&gt;"},"properties":{"noteIndex":0},"schema":"https://github.com/citation-style-language/schema/raw/master/csl-citation.json"}</w:instrText>
      </w:r>
      <w:r w:rsidRPr="008F27E6">
        <w:rPr>
          <w:rFonts w:eastAsiaTheme="minorHAnsi" w:cstheme="minorBidi"/>
          <w:szCs w:val="22"/>
          <w:lang w:eastAsia="en-US"/>
        </w:rPr>
        <w:fldChar w:fldCharType="separate"/>
      </w:r>
      <w:r w:rsidR="00D213DC" w:rsidRPr="00D213DC">
        <w:rPr>
          <w:rFonts w:eastAsiaTheme="minorHAnsi" w:cstheme="minorBidi"/>
          <w:noProof/>
          <w:szCs w:val="22"/>
          <w:vertAlign w:val="superscript"/>
          <w:lang w:eastAsia="en-US"/>
        </w:rPr>
        <w:t>12</w:t>
      </w:r>
      <w:r w:rsidRPr="008F27E6">
        <w:rPr>
          <w:rFonts w:eastAsiaTheme="minorHAnsi" w:cstheme="minorBidi"/>
          <w:szCs w:val="22"/>
          <w:lang w:eastAsia="en-US"/>
        </w:rPr>
        <w:fldChar w:fldCharType="end"/>
      </w:r>
      <w:r w:rsidRPr="008F27E6">
        <w:rPr>
          <w:rFonts w:eastAsiaTheme="minorHAnsi" w:cstheme="minorBidi"/>
          <w:szCs w:val="22"/>
          <w:lang w:eastAsia="en-US"/>
        </w:rPr>
        <w:t xml:space="preserve"> based on the increased risk of subtle neurodevelopmental adverse outcomes into the ‘early term’ gestational period.</w:t>
      </w:r>
      <w:r w:rsidRPr="008F27E6">
        <w:rPr>
          <w:rFonts w:eastAsiaTheme="minorHAnsi" w:cstheme="minorBidi"/>
          <w:szCs w:val="22"/>
          <w:lang w:eastAsia="en-US"/>
        </w:rPr>
        <w:fldChar w:fldCharType="begin" w:fldLock="1"/>
      </w:r>
      <w:r w:rsidR="003335F9">
        <w:rPr>
          <w:rFonts w:eastAsiaTheme="minorHAnsi" w:cstheme="minorBidi"/>
          <w:szCs w:val="22"/>
          <w:lang w:eastAsia="en-US"/>
        </w:rPr>
        <w:instrText>ADDIN CSL_CITATION {"citationItems":[{"id":"ITEM-1","itemData":{"DOI":"10.1371/journal.pmed.1000289","ISSN":"1549-1676 (Electronic)","PMID":"20543995","abstract":"BACKGROUND: Previous studies have demonstrated an association between preterm delivery and increased risk of special educational need (SEN). The aim of our study was to examine the risk of SEN across the full range of gestation. METHODS AND FINDINGS: We conducted a population-based, retrospective study by linking school census data on the 407,503 eligible school-aged children resident in 19 Scottish Local Authority areas (total population 3.8 million) to their routine birth data. SEN was recorded in 17,784 (4.9%) children; 1,565 (8.4%) of those born preterm and 16,219 (4.7%) of those born at term. The risk of SEN increased across the whole range of gestation from 40 to 24 wk: 37-39 wk adjusted odds ratio (OR) 1.16, 95% confidence interval (CI) 1.12-1.20; 33-36 wk adjusted OR 1.53, 95% CI 1.43-1.63; 28-32 wk adjusted OR 2.66, 95% CI 2.38-2.97; 24-27 wk adjusted OR 6.92, 95% CI 5.58-8.58. There was no interaction between elective versus spontaneous delivery. Overall, gestation at delivery accounted for 10% of the adjusted population attributable fraction of SEN. Because of their high frequency, early term deliveries (37-39 wk) accounted for 5.5% of cases of SEN compared with preterm deliveries (&lt;37 wk), which accounted for only 3.6% of cases. CONCLUSIONS: Gestation at delivery had a strong, dose-dependent relationship with SEN that was apparent across the whole range of gestation. Because early term delivery is more common than preterm delivery, the former accounts for a higher percentage of SEN cases. Our findings have important implications for clinical practice in relation to the timing of elective delivery.","author":[{"dropping-particle":"","family":"MacKay","given":"Daniel F","non-dropping-particle":"","parse-names":false,"suffix":""},{"dropping-particle":"","family":"Smith","given":"Gordon C S","non-dropping-particle":"","parse-names":false,"suffix":""},{"dropping-particle":"","family":"Dobbie","given":"Richard","non-dropping-particle":"","parse-names":false,"suffix":""},{"dropping-particle":"","family":"Pell","given":"Jill P","non-dropping-particle":"","parse-names":false,"suffix":""}],"container-title":"PLoS medicine","id":"ITEM-1","issue":"6","issued":{"date-parts":[["2010","6"]]},"language":"eng","page":"e1000289","publisher-place":"United States","title":"Gestational age at delivery and special educational need: retrospective cohort study of 407,503 schoolchildren.","type":"article-journal","volume":"7"},"uris":["http://www.mendeley.com/documents/?uuid=64f606a2-949d-4c56-97c1-2bc7a0132994"]},{"id":"ITEM-2","itemData":{"DOI":"10.1016/j.jpeds.2008.09.013","ISSN":"00223476","PMID":"18950794","abstract":"Objective: To examine the risks of infant death and neonatal morbidity by week of gestation at term. Study design: National U.S. birth cohort study on the basis of singleton live births in 1995-2001 at 37 to 41 completed weeks gestational age (GA), with exclusion of congenital anomalies. Main outcomes included neonatal, postneonatal, and cause-specific infant death; low-Apgar score at 5 minutes; receipt of neonatal mechanical ventilation ≥30 minutes; neonatal seizures; birth injury; and meconium aspiration syndrome. To reduce confounding by indication, we carried out a secondary analysis restricted to low-risk deliveries. Results: In non-Hispanic white women, the mortality rate decreased with increasing GA from 37 to 39 weeks, remained stable from 39 to 40 weeks, and then (for neonatal death) increased at 41 weeks. Rates of low 5-minute Apgar score and mechanical ventilation showed a U-shaped relation across term GAs, and rates of meconium aspiration syndrome and birth injury rose with increasing GA. Results were similar among infants born to low-risk mothers and in non-Hispanic black women. Conclusions: Term infants show considerable heterogeneity across gestational age in neonatal and late infant outcomes, even when born to mothers at low risk. Recent trends toward earlier labor induction may have adverse health impacts. © 2009 Mosby, Inc. All rights reserved.","author":[{"dropping-particle":"","family":"Zhang","given":"Xun","non-dropping-particle":"","parse-names":false,"suffix":""},{"dropping-particle":"","family":"Kramer","given":"Michael S.","non-dropping-particle":"","parse-names":false,"suffix":""}],"container-title":"Journal of Pediatrics","id":"ITEM-2","issue":"3","issued":{"date-parts":[["2009"]]},"title":"Variations in Mortality and Morbidity by Gestational Age among Infants Born at Term","type":"article-journal","volume":"154"},"uris":["http://www.mendeley.com/documents/?uuid=4b564671-7485-436c-8050-6fe99a469d87"]},{"id":"ITEM-3","itemData":{"DOI":"10.1016/j.ajog.2008.08.002","ISSN":"00029378","abstract":"Objective: There is a relative paucity of data regarding neonatal outcomes in the late preterm cohort (34 to 36 6/7 weeks). This study sought to assess differences in adverse outcomes between infants delivering 32 to 33 6/7, 34 to 36 6/7 weeks, and 37 weeks or later. Study Design: Data were collected as part of a retrospective cohort study of preterm labor patients (2002-2005). Patients delivering 32 weeks or later were included (n = 264). The incidence of adverse outcomes was assessed. Significant associations between outcomes and gestational age at delivery were determined using χ2 analyses and Poisson regression modeled cumulative incidence and controlled for confounders. Results: Late preterm infants have increased risk of adverse outcomes, compared with term infants. Controlling for confounders, there was a 23% decrease in adverse outcomes with each week of advancing gestational age between 32 and 39 completed weeks (relative risk 0.77, P &lt; .001, 95% confidence interval, 0.71-0.84). Conclusion: Further investigation regarding obstetrical management and long-term outcomes for this cohort is warranted. © 2008 Mosby, Inc. All rights reserved.","author":[{"dropping-particle":"","family":"Bastek","given":"Jamie A.","non-dropping-particle":"","parse-names":false,"suffix":""},{"dropping-particle":"","family":"Sammel","given":"Mary D.","non-dropping-particle":"","parse-names":false,"suffix":""},{"dropping-particle":"","family":"Paré","given":"Emmanuelle","non-dropping-particle":"","parse-names":false,"suffix":""},{"dropping-particle":"","family":"Srinivas","given":"Sindhu K.","non-dropping-particle":"","parse-names":false,"suffix":""},{"dropping-particle":"","family":"Posencheg","given":"Michael A.","non-dropping-particle":"","parse-names":false,"suffix":""},{"dropping-particle":"","family":"Elovitz","given":"Michal A.","non-dropping-particle":"","parse-names":false,"suffix":""}],"container-title":"American Journal of Obstetrics and Gynecology","id":"ITEM-3","issue":"4","issued":{"date-parts":[["2008"]]},"page":"367.e1-367.e8","title":"Adverse neonatal outcomes: examining the risks between preterm, late preterm, and term infants","type":"article-journal","volume":"199"},"uris":["http://www.mendeley.com/documents/?uuid=a24c5a6a-daf2-4f58-8bff-3fe2fa2fa033"]},{"id":"ITEM-4","itemData":{"DOI":"10.1056/NEJMoa0803267","ISSN":"0028-4793","author":[{"dropping-particle":"","family":"Tita","given":"Alan T.N.","non-dropping-particle":"","parse-names":false,"suffix":""},{"dropping-particle":"","family":"Landon","given":"Mark B.","non-dropping-particle":"","parse-names":false,"suffix":""},{"dropping-particle":"","family":"Spong","given":"Catherine Y.","non-dropping-particle":"","parse-names":false,"suffix":""},{"dropping-particle":"","family":"Lai","given":"Yinglei","non-dropping-particle":"","parse-names":false,"suffix":""},{"dropping-particle":"","family":"Leveno","given":"Kenneth J.","non-dropping-particle":"","parse-names":false,"suffix":""},{"dropping-particle":"","family":"Varner","given":"Michael W.","non-dropping-particle":"","parse-names":false,"suffix":""},{"dropping-particle":"","family":"Moawad","given":"Atef H.","non-dropping-particle":"","parse-names":false,"suffix":""},{"dropping-particle":"","family":"Caritis","given":"Steve N.","non-dropping-particle":"","parse-names":false,"suffix":""},{"dropping-particle":"","family":"Meis","given":"Paul J.","non-dropping-particle":"","parse-names":false,"suffix":""},{"dropping-particle":"","family":"Wapner","given":"Ronald J.","non-dropping-particle":"","parse-names":false,"suffix":""},{"dropping-particle":"","family":"Sorokin","given":"Yoram","non-dropping-particle":"","parse-names":false,"suffix":""},{"dropping-particle":"","family":"Miodovnik","given":"Menachem","non-dropping-particle":"","parse-names":false,"suffix":""},{"dropping-particle":"","family":"Carpenter","given":"Marshall","non-dropping-particle":"","parse-names":false,"suffix":""},{"dropping-particle":"","family":"Peaceman","given":"Alan M.","non-dropping-particle":"","parse-names":false,"suffix":""},{"dropping-particle":"","family":"O'Sullivan","given":"Mary J.","non-dropping-particle":"","parse-names":false,"suffix":""},{"dropping-particle":"","family":"Sibai","given":"Baha M.","non-dropping-particle":"","parse-names":false,"suffix":""},{"dropping-particle":"","family":"Langer","given":"Oded","non-dropping-particle":"","parse-names":false,"suffix":""},{"dropping-particle":"","family":"Thorp","given":"John M.","non-dropping-particle":"","parse-names":false,"suffix":""},{"dropping-particle":"","family":"Ramin","given":"Susan M.","non-dropping-particle":"","parse-names":false,"suffix":""},{"dropping-particle":"","family":"Mercer","given":"Brian M.","non-dropping-particle":"","parse-names":false,"suffix":""}],"container-title":"New England Journal of Medicine","id":"ITEM-4","issue":"2","issued":{"date-parts":[["2009","1","8"]]},"page":"111-120","title":"Timing of Elective Repeat Cesarean Delivery at Term and Neonatal Outcomes","type":"article-journal","volume":"360"},"uris":["http://www.mendeley.com/documents/?uuid=b830d6a6-8960-3e90-b0f4-b83676230812"]}],"mendeley":{"formattedCitation":"&lt;sup&gt;13–16&lt;/sup&gt;","plainTextFormattedCitation":"13–16","previouslyFormattedCitation":"&lt;sup&gt;13–16&lt;/sup&gt;"},"properties":{"noteIndex":0},"schema":"https://github.com/citation-style-language/schema/raw/master/csl-citation.json"}</w:instrText>
      </w:r>
      <w:r w:rsidRPr="008F27E6">
        <w:rPr>
          <w:rFonts w:eastAsiaTheme="minorHAnsi" w:cstheme="minorBidi"/>
          <w:szCs w:val="22"/>
          <w:lang w:eastAsia="en-US"/>
        </w:rPr>
        <w:fldChar w:fldCharType="separate"/>
      </w:r>
      <w:r w:rsidR="00D213DC" w:rsidRPr="00D213DC">
        <w:rPr>
          <w:rFonts w:eastAsiaTheme="minorHAnsi" w:cstheme="minorBidi"/>
          <w:noProof/>
          <w:szCs w:val="22"/>
          <w:vertAlign w:val="superscript"/>
          <w:lang w:eastAsia="en-US"/>
        </w:rPr>
        <w:t>13–16</w:t>
      </w:r>
      <w:r w:rsidRPr="008F27E6">
        <w:rPr>
          <w:rFonts w:eastAsiaTheme="minorHAnsi" w:cstheme="minorBidi"/>
          <w:szCs w:val="22"/>
          <w:lang w:eastAsia="en-US"/>
        </w:rPr>
        <w:fldChar w:fldCharType="end"/>
      </w:r>
    </w:p>
    <w:p w14:paraId="396C1320" w14:textId="77777777" w:rsidR="005311E0" w:rsidRDefault="005311E0" w:rsidP="005311E0">
      <w:pPr>
        <w:rPr>
          <w:lang w:eastAsia="en-US"/>
        </w:rPr>
      </w:pPr>
    </w:p>
    <w:p w14:paraId="02269635" w14:textId="77777777" w:rsidR="005311E0" w:rsidRDefault="005311E0" w:rsidP="005311E0">
      <w:pPr>
        <w:pStyle w:val="Heading2"/>
        <w:rPr>
          <w:i/>
          <w:iCs/>
        </w:rPr>
      </w:pPr>
      <w:bookmarkStart w:id="16" w:name="_Toc69722989"/>
      <w:r>
        <w:t xml:space="preserve">Rationale for high-risk term group gestation of birth </w:t>
      </w:r>
      <w:r w:rsidRPr="00006BC8">
        <w:rPr>
          <w:i/>
          <w:iCs/>
        </w:rPr>
        <w:t>≥3</w:t>
      </w:r>
      <w:r>
        <w:rPr>
          <w:i/>
          <w:iCs/>
        </w:rPr>
        <w:t>7</w:t>
      </w:r>
      <w:r w:rsidRPr="00006BC8">
        <w:rPr>
          <w:i/>
          <w:iCs/>
          <w:vertAlign w:val="superscript"/>
        </w:rPr>
        <w:t>+0</w:t>
      </w:r>
      <w:r>
        <w:rPr>
          <w:i/>
          <w:iCs/>
          <w:vertAlign w:val="superscript"/>
        </w:rPr>
        <w:t xml:space="preserve"> </w:t>
      </w:r>
      <w:r>
        <w:rPr>
          <w:i/>
          <w:iCs/>
        </w:rPr>
        <w:t>weeks</w:t>
      </w:r>
      <w:bookmarkEnd w:id="16"/>
    </w:p>
    <w:p w14:paraId="1D5D3218" w14:textId="403585AD" w:rsidR="005311E0" w:rsidRDefault="005311E0" w:rsidP="005311E0">
      <w:r w:rsidRPr="008F27E6">
        <w:t>Within the high-risk population</w:t>
      </w:r>
      <w:r w:rsidR="0086354C">
        <w:t>,</w:t>
      </w:r>
      <w:r w:rsidRPr="008F27E6">
        <w:t xml:space="preserve"> we chose to classify term birth as ≥ 37</w:t>
      </w:r>
      <w:r w:rsidRPr="008F27E6">
        <w:rPr>
          <w:vertAlign w:val="superscript"/>
        </w:rPr>
        <w:t>+0</w:t>
      </w:r>
      <w:r w:rsidRPr="008F27E6">
        <w:t xml:space="preserve"> weeks gestation because having had a previous &lt;34</w:t>
      </w:r>
      <w:r w:rsidRPr="008F27E6">
        <w:rPr>
          <w:vertAlign w:val="superscript"/>
        </w:rPr>
        <w:t>+0</w:t>
      </w:r>
      <w:r w:rsidRPr="008F27E6">
        <w:t xml:space="preserve"> week birth/PPROM and then to have achieved a pregnancy of ≥37</w:t>
      </w:r>
      <w:r w:rsidRPr="008F27E6">
        <w:rPr>
          <w:vertAlign w:val="superscript"/>
        </w:rPr>
        <w:t>+0</w:t>
      </w:r>
      <w:r w:rsidRPr="008F27E6">
        <w:t xml:space="preserve"> weeks is normally seen as a successful outcome. In women with a previous poor pregnancy outcome associated with their previous PTB</w:t>
      </w:r>
      <w:r w:rsidR="0086354C">
        <w:t>,</w:t>
      </w:r>
      <w:r w:rsidRPr="008F27E6">
        <w:t xml:space="preserve"> there was a high rate of medically indicated births after ≥ 37</w:t>
      </w:r>
      <w:r w:rsidRPr="008F27E6">
        <w:rPr>
          <w:vertAlign w:val="superscript"/>
        </w:rPr>
        <w:t xml:space="preserve">+0 </w:t>
      </w:r>
      <w:r w:rsidRPr="008F27E6">
        <w:t>weeks. It felt inappropriate to exclude such women who had a successful pregnancy within our study, but labour was induced, or a pre-labour CS performed, because of their history</w:t>
      </w:r>
      <w:r w:rsidR="005136FD">
        <w:t xml:space="preserve"> at 37</w:t>
      </w:r>
      <w:r w:rsidR="005136FD">
        <w:rPr>
          <w:vertAlign w:val="superscript"/>
        </w:rPr>
        <w:t>+0</w:t>
      </w:r>
      <w:r w:rsidR="005136FD">
        <w:t>-38</w:t>
      </w:r>
      <w:r w:rsidR="005136FD">
        <w:rPr>
          <w:vertAlign w:val="superscript"/>
        </w:rPr>
        <w:t>+6</w:t>
      </w:r>
      <w:r w:rsidR="005136FD">
        <w:t xml:space="preserve"> weeks gestation</w:t>
      </w:r>
      <w:r w:rsidRPr="008F27E6">
        <w:t xml:space="preserve"> (and who may well have continued to ≥ 39</w:t>
      </w:r>
      <w:r w:rsidRPr="008F27E6">
        <w:rPr>
          <w:vertAlign w:val="superscript"/>
        </w:rPr>
        <w:t>+0</w:t>
      </w:r>
      <w:r w:rsidRPr="008F27E6">
        <w:t xml:space="preserve"> weeks without medical input).</w:t>
      </w:r>
    </w:p>
    <w:p w14:paraId="57E7BE97" w14:textId="70877D9F" w:rsidR="00BC72D3" w:rsidRDefault="00BC72D3" w:rsidP="005311E0"/>
    <w:p w14:paraId="18EB23A4" w14:textId="30B286D6" w:rsidR="00BC72D3" w:rsidRDefault="00424F22" w:rsidP="00424F22">
      <w:pPr>
        <w:pStyle w:val="Heading2"/>
      </w:pPr>
      <w:bookmarkStart w:id="17" w:name="_Toc69722990"/>
      <w:r>
        <w:t>Definition of PPROM</w:t>
      </w:r>
      <w:bookmarkEnd w:id="17"/>
    </w:p>
    <w:p w14:paraId="6E6435F0" w14:textId="5107C8C9" w:rsidR="00424F22" w:rsidRPr="00424F22" w:rsidRDefault="00424F22" w:rsidP="00424F22">
      <w:pPr>
        <w:rPr>
          <w:lang w:eastAsia="en-US"/>
        </w:rPr>
      </w:pPr>
      <w:r w:rsidRPr="00424F22">
        <w:rPr>
          <w:lang w:eastAsia="en-US"/>
        </w:rPr>
        <w:t>In order to achieve a</w:t>
      </w:r>
      <w:r>
        <w:rPr>
          <w:lang w:eastAsia="en-US"/>
        </w:rPr>
        <w:t xml:space="preserve"> </w:t>
      </w:r>
      <w:r w:rsidRPr="00424F22">
        <w:rPr>
          <w:lang w:eastAsia="en-US"/>
        </w:rPr>
        <w:t>differentiation of membranes rupturing early in the labour process (which was actually</w:t>
      </w:r>
      <w:r>
        <w:rPr>
          <w:lang w:eastAsia="en-US"/>
        </w:rPr>
        <w:t xml:space="preserve"> </w:t>
      </w:r>
      <w:r w:rsidRPr="00424F22">
        <w:rPr>
          <w:lang w:eastAsia="en-US"/>
        </w:rPr>
        <w:t>preterm labour) and isolated PPROM</w:t>
      </w:r>
      <w:r w:rsidR="0086354C">
        <w:rPr>
          <w:lang w:eastAsia="en-US"/>
        </w:rPr>
        <w:t>,</w:t>
      </w:r>
      <w:r w:rsidRPr="00424F22">
        <w:rPr>
          <w:lang w:eastAsia="en-US"/>
        </w:rPr>
        <w:t xml:space="preserve"> we used a definition of rupture of membranes at</w:t>
      </w:r>
    </w:p>
    <w:p w14:paraId="4BEB9FF3" w14:textId="60686FA1" w:rsidR="00424F22" w:rsidRPr="0086354C" w:rsidRDefault="00424F22" w:rsidP="00424F22">
      <w:pPr>
        <w:rPr>
          <w:lang w:eastAsia="en-US"/>
        </w:rPr>
      </w:pPr>
      <w:r w:rsidRPr="00424F22">
        <w:rPr>
          <w:lang w:eastAsia="en-US"/>
        </w:rPr>
        <w:t>least 12 hours prior to the onset of uterine activity</w:t>
      </w:r>
      <w:r>
        <w:rPr>
          <w:lang w:eastAsia="en-US"/>
        </w:rPr>
        <w:t xml:space="preserve">. </w:t>
      </w:r>
    </w:p>
    <w:p w14:paraId="65280789" w14:textId="77777777" w:rsidR="005311E0" w:rsidRPr="001823ED" w:rsidRDefault="005311E0" w:rsidP="009D21B5">
      <w:pPr>
        <w:widowControl w:val="0"/>
      </w:pPr>
    </w:p>
    <w:p w14:paraId="65D91730" w14:textId="77777777" w:rsidR="00812814" w:rsidRPr="001823ED" w:rsidRDefault="00812814" w:rsidP="009D21B5">
      <w:pPr>
        <w:widowControl w:val="0"/>
      </w:pPr>
    </w:p>
    <w:p w14:paraId="2ADD5FBC" w14:textId="4D2CC71D" w:rsidR="0086354C" w:rsidRDefault="00ED744C" w:rsidP="0086354C">
      <w:pPr>
        <w:pStyle w:val="Heading2"/>
        <w:rPr>
          <w:b w:val="0"/>
        </w:rPr>
      </w:pPr>
      <w:bookmarkStart w:id="18" w:name="_Toc69722991"/>
      <w:r>
        <w:t xml:space="preserve">Final samples included in </w:t>
      </w:r>
      <w:r w:rsidR="0086354C">
        <w:t xml:space="preserve">the </w:t>
      </w:r>
      <w:r w:rsidRPr="0086354C">
        <w:t>analys</w:t>
      </w:r>
      <w:r w:rsidR="0086354C">
        <w:t>e</w:t>
      </w:r>
      <w:r w:rsidRPr="0086354C">
        <w:t>s</w:t>
      </w:r>
      <w:bookmarkEnd w:id="18"/>
    </w:p>
    <w:p w14:paraId="0E35DD47" w14:textId="7780F28B" w:rsidR="00EE377B" w:rsidRPr="0086354C" w:rsidRDefault="00812814" w:rsidP="009D21B5">
      <w:pPr>
        <w:widowControl w:val="0"/>
      </w:pPr>
      <w:r w:rsidRPr="00854F4E">
        <w:t>A total of 2</w:t>
      </w:r>
      <w:r w:rsidR="00DB1304" w:rsidRPr="00854F4E">
        <w:t>5</w:t>
      </w:r>
      <w:r w:rsidR="00173518" w:rsidRPr="00854F4E">
        <w:t>9</w:t>
      </w:r>
      <w:r w:rsidR="00DB1304" w:rsidRPr="00854F4E">
        <w:t xml:space="preserve"> </w:t>
      </w:r>
      <w:r w:rsidRPr="00854F4E">
        <w:t>of the 364 participants had an eligible pregnancy outcome. These participants contributed 484 samples. Of these, 454 (93.8%) samples from 2</w:t>
      </w:r>
      <w:r w:rsidR="000F3E3E" w:rsidRPr="00854F4E">
        <w:t>54</w:t>
      </w:r>
      <w:r w:rsidRPr="00854F4E">
        <w:t xml:space="preserve"> (98.</w:t>
      </w:r>
      <w:r w:rsidR="00D44F26" w:rsidRPr="00854F4E">
        <w:t>1</w:t>
      </w:r>
      <w:r w:rsidRPr="00854F4E">
        <w:t xml:space="preserve">%) participants had valid 16S rRNA sequencing and valid </w:t>
      </w:r>
      <w:proofErr w:type="spellStart"/>
      <w:r w:rsidRPr="00854F4E">
        <w:t>BactQuant</w:t>
      </w:r>
      <w:proofErr w:type="spellEnd"/>
      <w:r w:rsidRPr="00854F4E">
        <w:t xml:space="preserve"> assays and were retained for further analysis. The final </w:t>
      </w:r>
      <w:r w:rsidRPr="00854F4E">
        <w:lastRenderedPageBreak/>
        <w:t>rarefied ASV relative abundance table consisted of 276 ASVs in 454 samples from 2</w:t>
      </w:r>
      <w:r w:rsidR="00174F6E" w:rsidRPr="00854F4E">
        <w:t>54</w:t>
      </w:r>
      <w:r w:rsidRPr="00854F4E">
        <w:t xml:space="preserve"> individual participants, mapping to species (181; 65.6%), genus (82; 29.7%), or higher taxonomic levels (13; 4.7%) (Appendix B). Of the 276 ASVs, 76 (27.5%) ASVs were present at a relative abundance of at least 1% in at least 1 sample; the other 200 (72.5%) ASVs were minority species.</w:t>
      </w:r>
    </w:p>
    <w:p w14:paraId="79AB0497" w14:textId="58CD45E8" w:rsidR="00AB719D" w:rsidRPr="001823ED" w:rsidRDefault="00AB719D" w:rsidP="009D21B5">
      <w:pPr>
        <w:widowControl w:val="0"/>
        <w:rPr>
          <w:noProof/>
        </w:rPr>
      </w:pPr>
    </w:p>
    <w:p w14:paraId="2974C39E" w14:textId="6FF833EB" w:rsidR="00411C71" w:rsidRPr="001823ED" w:rsidRDefault="00AA64E7" w:rsidP="009D21B5">
      <w:pPr>
        <w:pStyle w:val="Heading2"/>
        <w:keepNext w:val="0"/>
        <w:keepLines w:val="0"/>
        <w:widowControl w:val="0"/>
        <w:rPr>
          <w:noProof/>
        </w:rPr>
      </w:pPr>
      <w:bookmarkStart w:id="19" w:name="_Toc69722992"/>
      <w:r w:rsidRPr="001823ED">
        <w:rPr>
          <w:noProof/>
        </w:rPr>
        <w:t xml:space="preserve">Creation and selection of </w:t>
      </w:r>
      <w:r w:rsidR="00EC7B60" w:rsidRPr="001823ED">
        <w:rPr>
          <w:noProof/>
        </w:rPr>
        <w:t xml:space="preserve">VMB </w:t>
      </w:r>
      <w:r w:rsidR="00161167" w:rsidRPr="001823ED">
        <w:rPr>
          <w:noProof/>
        </w:rPr>
        <w:t>variables</w:t>
      </w:r>
      <w:bookmarkEnd w:id="19"/>
    </w:p>
    <w:p w14:paraId="15DF2D4E" w14:textId="48E66039" w:rsidR="00AA64E7" w:rsidRPr="001823ED" w:rsidRDefault="00AA64E7" w:rsidP="009D21B5">
      <w:pPr>
        <w:widowControl w:val="0"/>
      </w:pPr>
      <w:r w:rsidRPr="001823ED">
        <w:t>As explained in the manuscript, we use existing approaches of sequencing data reduction to create VMB variables, but we also used new approaches that hav</w:t>
      </w:r>
      <w:r w:rsidR="00B93CFB" w:rsidRPr="001823ED">
        <w:t>e not been used in PTB</w:t>
      </w:r>
      <w:r w:rsidRPr="001823ED">
        <w:t xml:space="preserve"> research before.</w:t>
      </w:r>
    </w:p>
    <w:p w14:paraId="06D431AC" w14:textId="1B75FC60" w:rsidR="00AA64E7" w:rsidRPr="001823ED" w:rsidRDefault="00AA64E7" w:rsidP="009D21B5">
      <w:pPr>
        <w:widowControl w:val="0"/>
      </w:pPr>
    </w:p>
    <w:p w14:paraId="185FB9F5" w14:textId="48CE96F6" w:rsidR="00AA64E7" w:rsidRPr="001823ED" w:rsidRDefault="00AA64E7" w:rsidP="009D21B5">
      <w:pPr>
        <w:widowControl w:val="0"/>
        <w:rPr>
          <w:i/>
        </w:rPr>
      </w:pPr>
      <w:r w:rsidRPr="001823ED">
        <w:rPr>
          <w:i/>
        </w:rPr>
        <w:t>Existing approaches</w:t>
      </w:r>
    </w:p>
    <w:p w14:paraId="7C541736" w14:textId="6376BDFD" w:rsidR="001C31B4" w:rsidRPr="001823ED" w:rsidRDefault="00AA64E7" w:rsidP="009D21B5">
      <w:pPr>
        <w:widowControl w:val="0"/>
      </w:pPr>
      <w:r w:rsidRPr="001823ED">
        <w:t xml:space="preserve">We systematically reviewed the published literature to identify VMB variables that were associated with PTB in </w:t>
      </w:r>
      <w:r w:rsidR="00B93CFB" w:rsidRPr="001823ED">
        <w:t>at least one study (</w:t>
      </w:r>
      <w:r w:rsidRPr="001823ED">
        <w:t xml:space="preserve">Table </w:t>
      </w:r>
      <w:r w:rsidR="001C31B4" w:rsidRPr="001823ED">
        <w:t>A1). Table A1 shows previous studies that used sequencing methods to determine the relationship between the VMB</w:t>
      </w:r>
      <w:r w:rsidR="002431EF">
        <w:t xml:space="preserve"> in asymptomatic women</w:t>
      </w:r>
      <w:r w:rsidR="001C31B4" w:rsidRPr="001823ED">
        <w:t xml:space="preserve"> and PTB. The first author (LG) first extracted relevant information from the main manuscripts of each study to create a list of VMB variables that were described in at least one study. Next, she assessed each manuscript again for any data related to any of the variables on the full list of VMB variables, including data in supplement</w:t>
      </w:r>
      <w:r w:rsidR="001F5BA1">
        <w:t>ary materials. Individual taxa</w:t>
      </w:r>
      <w:r w:rsidR="001C31B4" w:rsidRPr="001823ED">
        <w:t xml:space="preserve"> were often shown in heatmaps or other figures without information about a statistical relationship with PTB, or a relationship was inferred but not clearly described. Such cases are shown as grey cells in Table 1, either empty (</w:t>
      </w:r>
      <w:r w:rsidR="001F5BA1">
        <w:t>no information) or containing a</w:t>
      </w:r>
      <w:r w:rsidR="001C31B4" w:rsidRPr="001823ED">
        <w:t xml:space="preserve"> horizontal arrow (ambiguous information). Table A1 was double-checked by one of the senior authors (JW).</w:t>
      </w:r>
    </w:p>
    <w:p w14:paraId="36CCF611" w14:textId="77777777" w:rsidR="001C31B4" w:rsidRPr="001823ED" w:rsidRDefault="001C31B4" w:rsidP="009D21B5">
      <w:pPr>
        <w:widowControl w:val="0"/>
      </w:pPr>
    </w:p>
    <w:p w14:paraId="388244A4" w14:textId="661E5FDC" w:rsidR="00AA64E7" w:rsidRDefault="001C31B4" w:rsidP="009D21B5">
      <w:pPr>
        <w:widowControl w:val="0"/>
      </w:pPr>
      <w:r w:rsidRPr="001823ED">
        <w:t>We selected variables that had been associated with PTB in at least two studies, irrespective of the directions of those associations (positive or negative). These included</w:t>
      </w:r>
      <w:r w:rsidR="00AA64E7" w:rsidRPr="001823ED">
        <w:t>: richness and Simpson diversity (1-D</w:t>
      </w:r>
      <w:r w:rsidRPr="001823ED">
        <w:t>) as continuous variables; two</w:t>
      </w:r>
      <w:r w:rsidR="00AA64E7" w:rsidRPr="001823ED">
        <w:t xml:space="preserve"> categorical VMB composition variables with each participant assigned to one category (the community state types </w:t>
      </w:r>
      <w:r w:rsidRPr="001823ED">
        <w:t>(CSTs) described by Ravel et al</w:t>
      </w:r>
      <w:r w:rsidR="00AA64E7" w:rsidRPr="001823ED">
        <w:rPr>
          <w:vertAlign w:val="superscript"/>
        </w:rPr>
        <w:t>14</w:t>
      </w:r>
      <w:r w:rsidR="00AA64E7" w:rsidRPr="001823ED">
        <w:t xml:space="preserve"> </w:t>
      </w:r>
      <w:r w:rsidRPr="001823ED">
        <w:t xml:space="preserve">and </w:t>
      </w:r>
      <w:r w:rsidR="00AA64E7" w:rsidRPr="001823ED">
        <w:rPr>
          <w:i/>
        </w:rPr>
        <w:t>Lactobacillus</w:t>
      </w:r>
      <w:r w:rsidR="00AA64E7" w:rsidRPr="001823ED">
        <w:t xml:space="preserve"> groups </w:t>
      </w:r>
      <w:r w:rsidRPr="001823ED">
        <w:t xml:space="preserve">(dominant, intermediate, deplete) </w:t>
      </w:r>
      <w:r w:rsidR="00AA64E7" w:rsidRPr="001823ED">
        <w:t xml:space="preserve">based on </w:t>
      </w:r>
      <w:r w:rsidR="00AA64E7" w:rsidRPr="001823ED">
        <w:rPr>
          <w:i/>
        </w:rPr>
        <w:t>Lactobacillus</w:t>
      </w:r>
      <w:r w:rsidRPr="001823ED">
        <w:t xml:space="preserve"> relative abundance</w:t>
      </w:r>
      <w:r w:rsidR="00AA64E7" w:rsidRPr="001823ED">
        <w:t>;</w:t>
      </w:r>
      <w:r w:rsidR="00AA64E7" w:rsidRPr="001823ED">
        <w:rPr>
          <w:vertAlign w:val="superscript"/>
        </w:rPr>
        <w:t>15</w:t>
      </w:r>
      <w:r w:rsidR="00AA64E7" w:rsidRPr="001823ED">
        <w:t xml:space="preserve"> stability groups, slightly modified from Romero et al;</w:t>
      </w:r>
      <w:r w:rsidR="00AA64E7" w:rsidRPr="001823ED">
        <w:rPr>
          <w:vertAlign w:val="superscript"/>
        </w:rPr>
        <w:t>16</w:t>
      </w:r>
      <w:r w:rsidR="00AA64E7" w:rsidRPr="001823ED">
        <w:t xml:space="preserve"> and the presence/absence of </w:t>
      </w:r>
      <w:r w:rsidR="008C74A4" w:rsidRPr="001823ED">
        <w:t xml:space="preserve">23 </w:t>
      </w:r>
      <w:r w:rsidR="00AA64E7" w:rsidRPr="001823ED">
        <w:t xml:space="preserve">specific taxa </w:t>
      </w:r>
      <w:r w:rsidRPr="001823ED">
        <w:t>of interest</w:t>
      </w:r>
      <w:r w:rsidR="00AA64E7" w:rsidRPr="001823ED">
        <w:t>.</w:t>
      </w:r>
      <w:r w:rsidRPr="001823ED">
        <w:t xml:space="preserve"> </w:t>
      </w:r>
      <w:r w:rsidR="008C74A4" w:rsidRPr="001823ED">
        <w:t>We included some</w:t>
      </w:r>
      <w:r w:rsidRPr="001823ED">
        <w:t xml:space="preserve"> indi</w:t>
      </w:r>
      <w:r w:rsidR="001F5BA1">
        <w:t xml:space="preserve">vidual </w:t>
      </w:r>
      <w:r w:rsidR="008C74A4" w:rsidRPr="001823ED">
        <w:t xml:space="preserve">taxa of interest even though they had only been associated with PTB in a single study: BVAB1, BVAB2, and BVAB TM7 (because they </w:t>
      </w:r>
      <w:r w:rsidRPr="001823ED">
        <w:t>had only recently be</w:t>
      </w:r>
      <w:r w:rsidR="008C74A4" w:rsidRPr="001823ED">
        <w:t xml:space="preserve">en described at the time the reviewed studies were conducted), </w:t>
      </w:r>
      <w:r w:rsidR="008C74A4" w:rsidRPr="001823ED">
        <w:rPr>
          <w:i/>
        </w:rPr>
        <w:t xml:space="preserve">L. </w:t>
      </w:r>
      <w:proofErr w:type="spellStart"/>
      <w:r w:rsidR="008C74A4" w:rsidRPr="001823ED">
        <w:rPr>
          <w:i/>
        </w:rPr>
        <w:t>jensenii</w:t>
      </w:r>
      <w:proofErr w:type="spellEnd"/>
      <w:r w:rsidR="008C74A4" w:rsidRPr="001823ED">
        <w:t xml:space="preserve"> (because we wanted to include all four major vaginal </w:t>
      </w:r>
      <w:r w:rsidR="008C74A4" w:rsidRPr="001823ED">
        <w:rPr>
          <w:i/>
        </w:rPr>
        <w:t>Lactobacillus</w:t>
      </w:r>
      <w:r w:rsidR="008C74A4" w:rsidRPr="001823ED">
        <w:t xml:space="preserve"> species), and </w:t>
      </w:r>
      <w:r w:rsidR="008C74A4" w:rsidRPr="001823ED">
        <w:rPr>
          <w:i/>
        </w:rPr>
        <w:t>Bifidobacterium breve</w:t>
      </w:r>
      <w:r w:rsidR="008C74A4" w:rsidRPr="001823ED">
        <w:t xml:space="preserve"> (because of its potential role as a preventative probiotic).</w:t>
      </w:r>
    </w:p>
    <w:p w14:paraId="3650628C" w14:textId="44E176B7" w:rsidR="005136FD" w:rsidRDefault="005136FD" w:rsidP="009D21B5">
      <w:pPr>
        <w:widowControl w:val="0"/>
      </w:pPr>
    </w:p>
    <w:p w14:paraId="18942CDD" w14:textId="6A2E23E4" w:rsidR="005136FD" w:rsidRPr="001823ED" w:rsidRDefault="005136FD" w:rsidP="009D21B5">
      <w:pPr>
        <w:widowControl w:val="0"/>
      </w:pPr>
      <w:r>
        <w:t xml:space="preserve">During the conduct of the analysis (in the year 2020 and </w:t>
      </w:r>
      <w:r w:rsidR="00A314E2">
        <w:t>until April</w:t>
      </w:r>
      <w:r>
        <w:t xml:space="preserve"> 2021)</w:t>
      </w:r>
      <w:r w:rsidR="0086354C">
        <w:t>,</w:t>
      </w:r>
      <w:r>
        <w:t xml:space="preserve"> </w:t>
      </w:r>
      <w:r w:rsidR="002B5F35">
        <w:t>seven</w:t>
      </w:r>
      <w:r>
        <w:t xml:space="preserve"> </w:t>
      </w:r>
      <w:r w:rsidR="0086354C">
        <w:t>additional</w:t>
      </w:r>
      <w:r>
        <w:t xml:space="preserve"> VMB in PTB studies were published.</w:t>
      </w:r>
      <w:r w:rsidR="002B5F35">
        <w:t xml:space="preserve"> Table A1 has been updated with these studies in order to facilitate comparison with contemporaneous literature (parts 3 and 4 of the table). The studies included in parts 3 and 4 were not used to develop VMB variables for the present study.</w:t>
      </w:r>
    </w:p>
    <w:p w14:paraId="4D1AD528" w14:textId="44AC1A9B" w:rsidR="008C74A4" w:rsidRPr="001823ED" w:rsidRDefault="008C74A4" w:rsidP="009D21B5">
      <w:pPr>
        <w:widowControl w:val="0"/>
      </w:pPr>
    </w:p>
    <w:p w14:paraId="362E5A45" w14:textId="6CED46F1" w:rsidR="003754E1" w:rsidRPr="001823ED" w:rsidRDefault="00B85E2D" w:rsidP="009D21B5">
      <w:pPr>
        <w:widowControl w:val="0"/>
      </w:pPr>
      <w:r w:rsidRPr="001823ED">
        <w:t xml:space="preserve">We used hierarchical clustering analysis with ward linkage and a clustering density threshold of 0.75 using all available data to assign samples to one of five CSTs: </w:t>
      </w:r>
      <w:r w:rsidR="00411C71" w:rsidRPr="001823ED">
        <w:t>I (</w:t>
      </w:r>
      <w:r w:rsidR="00411C71" w:rsidRPr="001823ED">
        <w:rPr>
          <w:i/>
          <w:iCs/>
        </w:rPr>
        <w:t xml:space="preserve">L. </w:t>
      </w:r>
      <w:proofErr w:type="spellStart"/>
      <w:r w:rsidR="00411C71" w:rsidRPr="001823ED">
        <w:rPr>
          <w:i/>
          <w:iCs/>
        </w:rPr>
        <w:t>crispatus</w:t>
      </w:r>
      <w:proofErr w:type="spellEnd"/>
      <w:r w:rsidRPr="001823ED">
        <w:rPr>
          <w:iCs/>
        </w:rPr>
        <w:t>-dominated</w:t>
      </w:r>
      <w:r w:rsidR="00411C71" w:rsidRPr="001823ED">
        <w:t>), II (</w:t>
      </w:r>
      <w:r w:rsidR="00411C71" w:rsidRPr="001823ED">
        <w:rPr>
          <w:i/>
          <w:iCs/>
        </w:rPr>
        <w:t xml:space="preserve">L. </w:t>
      </w:r>
      <w:proofErr w:type="spellStart"/>
      <w:r w:rsidR="00411C71" w:rsidRPr="001823ED">
        <w:rPr>
          <w:i/>
          <w:iCs/>
        </w:rPr>
        <w:t>gasseri</w:t>
      </w:r>
      <w:proofErr w:type="spellEnd"/>
      <w:r w:rsidRPr="001823ED">
        <w:rPr>
          <w:iCs/>
        </w:rPr>
        <w:t>-dominated</w:t>
      </w:r>
      <w:r w:rsidR="00411C71" w:rsidRPr="001823ED">
        <w:t>), III (</w:t>
      </w:r>
      <w:r w:rsidR="00411C71" w:rsidRPr="001823ED">
        <w:rPr>
          <w:i/>
          <w:iCs/>
        </w:rPr>
        <w:t xml:space="preserve">L. </w:t>
      </w:r>
      <w:proofErr w:type="spellStart"/>
      <w:r w:rsidR="00411C71" w:rsidRPr="001823ED">
        <w:rPr>
          <w:i/>
          <w:iCs/>
        </w:rPr>
        <w:t>iners</w:t>
      </w:r>
      <w:proofErr w:type="spellEnd"/>
      <w:r w:rsidRPr="001823ED">
        <w:rPr>
          <w:iCs/>
        </w:rPr>
        <w:t>-dominated</w:t>
      </w:r>
      <w:r w:rsidR="00411C71" w:rsidRPr="001823ED">
        <w:t>), IV (mixed bacterial species), and V (</w:t>
      </w:r>
      <w:r w:rsidR="00411C71" w:rsidRPr="001823ED">
        <w:rPr>
          <w:i/>
          <w:iCs/>
        </w:rPr>
        <w:t xml:space="preserve">L. </w:t>
      </w:r>
      <w:proofErr w:type="spellStart"/>
      <w:r w:rsidR="00411C71" w:rsidRPr="001823ED">
        <w:rPr>
          <w:i/>
          <w:iCs/>
        </w:rPr>
        <w:t>jensenii</w:t>
      </w:r>
      <w:proofErr w:type="spellEnd"/>
      <w:r w:rsidRPr="001823ED">
        <w:rPr>
          <w:iCs/>
        </w:rPr>
        <w:t>-dominated</w:t>
      </w:r>
      <w:r w:rsidRPr="001823ED">
        <w:t>)</w:t>
      </w:r>
      <w:r w:rsidR="00411C71" w:rsidRPr="001823ED">
        <w:t>.</w:t>
      </w:r>
      <w:r w:rsidRPr="001823ED">
        <w:t xml:space="preserve"> The three </w:t>
      </w:r>
      <w:r w:rsidRPr="001823ED">
        <w:rPr>
          <w:i/>
        </w:rPr>
        <w:t>Lactobacillus</w:t>
      </w:r>
      <w:r w:rsidRPr="001823ED">
        <w:t xml:space="preserve"> groups were defined by </w:t>
      </w:r>
      <w:r w:rsidRPr="001823ED">
        <w:rPr>
          <w:i/>
        </w:rPr>
        <w:t xml:space="preserve">Lactobacillus </w:t>
      </w:r>
      <w:r w:rsidRPr="001823ED">
        <w:t xml:space="preserve">relative abundance as follows: dominant (≥75%), intermediate (25-74.9%), and deplete (≤25%). </w:t>
      </w:r>
    </w:p>
    <w:p w14:paraId="479D4668" w14:textId="04ADD51E" w:rsidR="00E054E8" w:rsidRDefault="00E054E8" w:rsidP="009D21B5">
      <w:pPr>
        <w:widowControl w:val="0"/>
        <w:rPr>
          <w:i/>
        </w:rPr>
      </w:pPr>
    </w:p>
    <w:p w14:paraId="34FB725D" w14:textId="20AA7D7F" w:rsidR="003754E1" w:rsidRPr="001823ED" w:rsidRDefault="00B85E2D" w:rsidP="009D21B5">
      <w:pPr>
        <w:widowControl w:val="0"/>
        <w:rPr>
          <w:i/>
        </w:rPr>
      </w:pPr>
      <w:r w:rsidRPr="001823ED">
        <w:rPr>
          <w:i/>
        </w:rPr>
        <w:t>New approaches</w:t>
      </w:r>
    </w:p>
    <w:p w14:paraId="4F65C29E" w14:textId="0BD115AF" w:rsidR="00A2457A" w:rsidRPr="001823ED" w:rsidRDefault="00DB4850" w:rsidP="009D21B5">
      <w:pPr>
        <w:widowControl w:val="0"/>
      </w:pPr>
      <w:r w:rsidRPr="001823ED">
        <w:t>The final set of VMB variables was based on our previous work and was applied to PTB research for the first time: VMB types (based on relative abundances), bacterial group relative abundances, and bacterial group estimated concentrations. We also included total bacterial load, which had been considered in a few previous studies but not in much detail.</w:t>
      </w:r>
      <w:r w:rsidR="00E07E09">
        <w:fldChar w:fldCharType="begin" w:fldLock="1"/>
      </w:r>
      <w:r w:rsidR="00F518EA">
        <w:instrText>ADDIN CSL_CITATION {"citationItems":[{"id":"ITEM-1","itemData":{"DOI":"10.1186/s40168-018-0502-8","ISSN":"20492618","abstract":"The bacterial community present in the female lower genital tract plays an important role in maternal and neonatal health. Imbalances in this microbiota have been associated with negative reproductive outcomes, such as spontaneous preterm birth (sPTB), but the mechanisms underlying the association between a disturbed microbiota and sPTB remain poorly understood. An intrauterine infection ascending from the vagina is thought to be an important contributor to the onset of preterm labour. Our objective was to characterize the vaginal microbiota of pregnant women who had sPTB (n = 46) and compare to those of pregnant women who delivered at term (n = 170). Vaginal swabs were collected from women at 11–16 weeks of gestational age. Microbiota profiles were created by PCR amplification and pyrosequencing of the cpn60 universal target region. Profiles clustered into seven community state types: I (Lactobacillus crispatus dominated), II (Lactobacillus gasseri dominated), III (Lactobacillus iners dominated), IVA (Gardnerella vaginalis subgroup B or mix of species), IVC (G. vaginalis subgroup A dominated), IVD (G. vaginalis subgroup C dominated) and V (Lactobacillus jensenii dominated). The microbiota of women who experienced preterm birth (&lt; 37 weeks gestation) had higher richness and diversity and higher Mollicutes prevalence when compared to those of women who delivered at term. The two groups did not cluster according to CST, likely because CST assignment is driven in most cases by the dominance of one particular species, overwhelming the contributions of more rare taxa. In conclusion, we did not identify a specific microbial community structure that predicts sPTB, but differences in microbiota richness, diversity and Mollicutes prevalence were observed between groups. Although a causal relationship remains to be determined, our results confirm previous reports of an association between Mollicutes and sPTB and further suggest that a more diverse microbiome may be important in the pathogenesis of some cases.","author":[{"dropping-particle":"","family":"Freitas","given":"Aline C.","non-dropping-particle":"","parse-names":false,"suffix":""},{"dropping-particle":"","family":"Bocking","given":"Alan","non-dropping-particle":"","parse-names":false,"suffix":""},{"dropping-particle":"","family":"Hill","given":"Janet E.","non-dropping-particle":"","parse-names":false,"suffix":""},{"dropping-particle":"","family":"Money","given":"Deborah M.","non-dropping-particle":"","parse-names":false,"suffix":""}],"container-title":"Microbiome","id":"ITEM-1","issue":"1","issued":{"date-parts":[["2018"]]},"page":"1-15","publisher":"Microbiome","title":"Increased richness and diversity of the vaginal microbiota and spontaneous preterm birth","type":"article-journal","volume":"6"},"uris":["http://www.mendeley.com/documents/?uuid=9bb1baa5-56fe-4050-93de-1bbe9e407aa1"]},{"id":"ITEM-2","itemData":{"DOI":"10.1038/s41467-019-09285-9","ISSN":"20411723","abstract":"Failure to predict and understand the causes of preterm birth, the leading cause of neonatal morbidity and mortality, have limited effective interventions and therapeutics. From a cohort of 2000 pregnant women, we performed a nested case control study on 107 well-phenotyped cases of spontaneous preterm birth (sPTB) and 432 women delivering at term. Using innovative Bayesian modeling of cervicovaginal microbiota, seven bacterial taxa were significantly associated with increased risk of sPTB, with a stronger effect in African American women. However, higher vaginal levels of β-defensin-2 lowered the risk of sPTB associated with cervicovaginal microbiota in an ethnicity-dependent manner. Surprisingly, even in Lactobacillus spp. dominated cervicovaginal microbiota, low β-defensin-2 was associated with increased risk of sPTB. These findings hold promise for diagnostics to accurately identify women at risk for sPTB early in pregnancy. Therapeutic strategies could include immune modulators and microbiome-based therapeutics to reduce this significant health burden.","author":[{"dropping-particle":"","family":"Elovitz","given":"Michal A.","non-dropping-particle":"","parse-names":false,"suffix":""},{"dropping-particle":"","family":"Gajer","given":"Pawel","non-dropping-particle":"","parse-names":false,"suffix":""},{"dropping-particle":"","family":"Riis","given":"Valerie","non-dropping-particle":"","parse-names":false,"suffix":""},{"dropping-particle":"","family":"Brown","given":"Amy G.","non-dropping-particle":"","parse-names":false,"suffix":""},{"dropping-particle":"","family":"Humphrys","given":"Michael S.","non-dropping-particle":"","parse-names":false,"suffix":""},{"dropping-particle":"","family":"Holm","given":"Johanna B.","non-dropping-particle":"","parse-names":false,"suffix":""},{"dropping-particle":"","family":"Ravel","given":"Jacques","non-dropping-particle":"","parse-names":false,"suffix":""}],"container-title":"Nature Communications","id":"ITEM-2","issue":"1","issued":{"date-parts":[["2019"]]},"page":"1-8","publisher":"Springer US","title":"Cervicovaginal microbiota and local immune response modulate the risk of spontaneous preterm delivery","type":"article-journal","volume":"10"},"uris":["http://www.mendeley.com/documents/?uuid=f31f2853-83e1-4d49-b2bc-3ad8cc5db5db"]}],"mendeley":{"formattedCitation":"&lt;sup&gt;18,19&lt;/sup&gt;","plainTextFormattedCitation":"18,19","previouslyFormattedCitation":"&lt;sup&gt;18,19&lt;/sup&gt;"},"properties":{"noteIndex":0},"schema":"https://github.com/citation-style-language/schema/raw/master/csl-citation.json"}</w:instrText>
      </w:r>
      <w:r w:rsidR="00E07E09">
        <w:fldChar w:fldCharType="separate"/>
      </w:r>
      <w:r w:rsidR="00E07E09" w:rsidRPr="00E07E09">
        <w:rPr>
          <w:noProof/>
          <w:vertAlign w:val="superscript"/>
        </w:rPr>
        <w:t>18,19</w:t>
      </w:r>
      <w:r w:rsidR="00E07E09">
        <w:fldChar w:fldCharType="end"/>
      </w:r>
      <w:r w:rsidRPr="001823ED">
        <w:t xml:space="preserve"> </w:t>
      </w:r>
    </w:p>
    <w:p w14:paraId="18B41911" w14:textId="77777777" w:rsidR="00A2457A" w:rsidRPr="001823ED" w:rsidRDefault="00A2457A" w:rsidP="009D21B5">
      <w:pPr>
        <w:widowControl w:val="0"/>
      </w:pPr>
    </w:p>
    <w:p w14:paraId="23004F55" w14:textId="6A668CE8" w:rsidR="00C220A9" w:rsidRPr="001823ED" w:rsidRDefault="00A2457A" w:rsidP="009D21B5">
      <w:pPr>
        <w:widowControl w:val="0"/>
      </w:pPr>
      <w:r w:rsidRPr="001823ED">
        <w:t>The VMB types were mutually exclusive and were defined as follows: ﻿</w:t>
      </w:r>
      <w:r w:rsidR="00C220A9" w:rsidRPr="001823ED">
        <w:rPr>
          <w:i/>
          <w:iCs/>
        </w:rPr>
        <w:t xml:space="preserve">L. </w:t>
      </w:r>
      <w:proofErr w:type="spellStart"/>
      <w:r w:rsidR="00C220A9" w:rsidRPr="001823ED">
        <w:rPr>
          <w:i/>
          <w:iCs/>
        </w:rPr>
        <w:t>iners</w:t>
      </w:r>
      <w:proofErr w:type="spellEnd"/>
      <w:r w:rsidRPr="001823ED">
        <w:t xml:space="preserve">-dominated (Li; </w:t>
      </w:r>
      <w:r w:rsidR="00782103" w:rsidRPr="001823ED">
        <w:t>≥</w:t>
      </w:r>
      <w:r w:rsidR="00C220A9" w:rsidRPr="001823ED">
        <w:t xml:space="preserve">75% </w:t>
      </w:r>
      <w:r w:rsidR="00C220A9" w:rsidRPr="001823ED">
        <w:lastRenderedPageBreak/>
        <w:t xml:space="preserve">lactobacilli of which </w:t>
      </w:r>
      <w:r w:rsidR="00C220A9" w:rsidRPr="001823ED">
        <w:rPr>
          <w:i/>
          <w:iCs/>
        </w:rPr>
        <w:t xml:space="preserve">L. </w:t>
      </w:r>
      <w:proofErr w:type="spellStart"/>
      <w:r w:rsidR="00C220A9" w:rsidRPr="001823ED">
        <w:rPr>
          <w:i/>
          <w:iCs/>
        </w:rPr>
        <w:t>iners</w:t>
      </w:r>
      <w:proofErr w:type="spellEnd"/>
      <w:r w:rsidRPr="001823ED">
        <w:t xml:space="preserve"> was the most common); </w:t>
      </w:r>
      <w:r w:rsidR="00C220A9" w:rsidRPr="001823ED">
        <w:rPr>
          <w:i/>
          <w:iCs/>
        </w:rPr>
        <w:t xml:space="preserve">L. </w:t>
      </w:r>
      <w:proofErr w:type="spellStart"/>
      <w:r w:rsidR="00C220A9" w:rsidRPr="001823ED">
        <w:rPr>
          <w:i/>
          <w:iCs/>
        </w:rPr>
        <w:t>crispatus</w:t>
      </w:r>
      <w:proofErr w:type="spellEnd"/>
      <w:r w:rsidRPr="001823ED">
        <w:rPr>
          <w:iCs/>
        </w:rPr>
        <w:t>-dominated</w:t>
      </w:r>
      <w:r w:rsidR="00C220A9" w:rsidRPr="001823ED">
        <w:t xml:space="preserve"> (</w:t>
      </w:r>
      <w:proofErr w:type="spellStart"/>
      <w:r w:rsidR="00C220A9" w:rsidRPr="001823ED">
        <w:t>Lcr</w:t>
      </w:r>
      <w:proofErr w:type="spellEnd"/>
      <w:r w:rsidR="00C220A9" w:rsidRPr="001823ED">
        <w:t xml:space="preserve">; ≥75% lactobacilli of which </w:t>
      </w:r>
      <w:r w:rsidR="00C220A9" w:rsidRPr="001823ED">
        <w:rPr>
          <w:i/>
          <w:iCs/>
        </w:rPr>
        <w:t xml:space="preserve">L. </w:t>
      </w:r>
      <w:proofErr w:type="spellStart"/>
      <w:r w:rsidR="00C220A9" w:rsidRPr="001823ED">
        <w:rPr>
          <w:i/>
          <w:iCs/>
        </w:rPr>
        <w:t>crispatus</w:t>
      </w:r>
      <w:proofErr w:type="spellEnd"/>
      <w:r w:rsidR="00C220A9" w:rsidRPr="001823ED">
        <w:rPr>
          <w:i/>
          <w:iCs/>
        </w:rPr>
        <w:t xml:space="preserve"> </w:t>
      </w:r>
      <w:r w:rsidRPr="001823ED">
        <w:t xml:space="preserve">was the most common); </w:t>
      </w:r>
      <w:r w:rsidR="00C220A9" w:rsidRPr="001823ED">
        <w:t xml:space="preserve">other lactobacilli-dominated </w:t>
      </w:r>
      <w:r w:rsidR="00F1476E">
        <w:t xml:space="preserve">or </w:t>
      </w:r>
      <w:r w:rsidR="00F1476E" w:rsidRPr="00F1476E">
        <w:rPr>
          <w:i/>
        </w:rPr>
        <w:t>Bifidobacterium</w:t>
      </w:r>
      <w:r w:rsidR="00F1476E">
        <w:t xml:space="preserve">-dominated </w:t>
      </w:r>
      <w:r w:rsidR="00C220A9" w:rsidRPr="001823ED">
        <w:t>(</w:t>
      </w:r>
      <w:proofErr w:type="spellStart"/>
      <w:r w:rsidR="00C220A9" w:rsidRPr="001823ED">
        <w:t>Lo</w:t>
      </w:r>
      <w:r w:rsidR="00F1476E">
        <w:t>+BL</w:t>
      </w:r>
      <w:proofErr w:type="spellEnd"/>
      <w:r w:rsidR="00F1476E">
        <w:t xml:space="preserve">; </w:t>
      </w:r>
      <w:r w:rsidR="00C220A9" w:rsidRPr="001823ED">
        <w:t xml:space="preserve">≥75% lactobacilli of which </w:t>
      </w:r>
      <w:r w:rsidR="00C220A9" w:rsidRPr="001823ED">
        <w:rPr>
          <w:i/>
          <w:iCs/>
        </w:rPr>
        <w:t xml:space="preserve">L. </w:t>
      </w:r>
      <w:proofErr w:type="spellStart"/>
      <w:r w:rsidR="00C220A9" w:rsidRPr="001823ED">
        <w:rPr>
          <w:i/>
          <w:iCs/>
        </w:rPr>
        <w:t>jensenii</w:t>
      </w:r>
      <w:proofErr w:type="spellEnd"/>
      <w:r w:rsidR="00C220A9" w:rsidRPr="001823ED">
        <w:rPr>
          <w:i/>
          <w:iCs/>
        </w:rPr>
        <w:t xml:space="preserve"> </w:t>
      </w:r>
      <w:r w:rsidR="00C220A9" w:rsidRPr="001823ED">
        <w:t xml:space="preserve">or </w:t>
      </w:r>
      <w:r w:rsidR="00C220A9" w:rsidRPr="001823ED">
        <w:rPr>
          <w:i/>
          <w:iCs/>
        </w:rPr>
        <w:t xml:space="preserve">L. </w:t>
      </w:r>
      <w:proofErr w:type="spellStart"/>
      <w:r w:rsidR="00C220A9" w:rsidRPr="001823ED">
        <w:rPr>
          <w:i/>
          <w:iCs/>
        </w:rPr>
        <w:t>gasseri</w:t>
      </w:r>
      <w:proofErr w:type="spellEnd"/>
      <w:r w:rsidRPr="001823ED">
        <w:t xml:space="preserve"> were the most common</w:t>
      </w:r>
      <w:r w:rsidR="00F1476E">
        <w:t xml:space="preserve"> or ≥50% </w:t>
      </w:r>
      <w:r w:rsidR="00F1476E" w:rsidRPr="00F1476E">
        <w:rPr>
          <w:i/>
        </w:rPr>
        <w:t>Bifidobacterium</w:t>
      </w:r>
      <w:r w:rsidRPr="001823ED">
        <w:t xml:space="preserve">); a mixture of </w:t>
      </w:r>
      <w:r w:rsidR="00F1476E">
        <w:t>lactobacilli and</w:t>
      </w:r>
      <w:r w:rsidR="00C220A9" w:rsidRPr="001823ED">
        <w:t xml:space="preserve"> anaerobes </w:t>
      </w:r>
      <w:r w:rsidR="00F1476E">
        <w:t>(LA</w:t>
      </w:r>
      <w:r w:rsidRPr="001823ED">
        <w:t>; 25%-</w:t>
      </w:r>
      <w:r w:rsidR="00782103">
        <w:t>75</w:t>
      </w:r>
      <w:r w:rsidR="00C220A9" w:rsidRPr="001823ED">
        <w:t>% lactobacilli</w:t>
      </w:r>
      <w:r w:rsidR="00F1476E">
        <w:t xml:space="preserve"> and the remainder BV-anaerobes</w:t>
      </w:r>
      <w:r w:rsidRPr="001823ED">
        <w:t xml:space="preserve">); and a mixture of </w:t>
      </w:r>
      <w:r w:rsidR="00F1476E">
        <w:t>BV-anaerobes (BV; ≥75% BV-anaerobes</w:t>
      </w:r>
      <w:r w:rsidR="00C220A9" w:rsidRPr="001823ED">
        <w:t>).</w:t>
      </w:r>
    </w:p>
    <w:p w14:paraId="31D6E838" w14:textId="3D6BF949" w:rsidR="005064FA" w:rsidRPr="001823ED" w:rsidRDefault="005064FA" w:rsidP="009D21B5">
      <w:pPr>
        <w:widowControl w:val="0"/>
        <w:rPr>
          <w:highlight w:val="cyan"/>
        </w:rPr>
      </w:pPr>
    </w:p>
    <w:p w14:paraId="52C3E299" w14:textId="548D45BB" w:rsidR="00C220A9" w:rsidRPr="001823ED" w:rsidRDefault="00A2457A" w:rsidP="009D21B5">
      <w:pPr>
        <w:widowControl w:val="0"/>
      </w:pPr>
      <w:r w:rsidRPr="001823ED">
        <w:t>E</w:t>
      </w:r>
      <w:r w:rsidR="00C220A9" w:rsidRPr="001823ED">
        <w:t>ach non-minority amplicon sequence variant in each sampl</w:t>
      </w:r>
      <w:r w:rsidRPr="001823ED">
        <w:t xml:space="preserve">e was allocated to one of four bacterial groups </w:t>
      </w:r>
      <w:r w:rsidR="00C220A9" w:rsidRPr="001823ED">
        <w:t>based on the publishe</w:t>
      </w:r>
      <w:r w:rsidRPr="001823ED">
        <w:t xml:space="preserve">d literature (Appendix B): ﻿lactobacilli; </w:t>
      </w:r>
      <w:r w:rsidR="00C220A9" w:rsidRPr="001823ED">
        <w:t>BV-anaerobes (</w:t>
      </w:r>
      <w:r w:rsidR="001D46B6" w:rsidRPr="001823ED">
        <w:t xml:space="preserve">consisting of </w:t>
      </w:r>
      <w:r w:rsidR="00C220A9" w:rsidRPr="001823ED">
        <w:t xml:space="preserve">Actinobacteria, Bacteroidetes, Firmicutes, Fusobacteria, and </w:t>
      </w:r>
      <w:proofErr w:type="spellStart"/>
      <w:r w:rsidR="00C220A9" w:rsidRPr="001823ED">
        <w:t>Tenericutes</w:t>
      </w:r>
      <w:proofErr w:type="spellEnd"/>
      <w:r w:rsidR="00C220A9" w:rsidRPr="001823ED">
        <w:t xml:space="preserve"> except those inclu</w:t>
      </w:r>
      <w:r w:rsidRPr="001823ED">
        <w:t>ded in the other 3 groups); pathobionts (most</w:t>
      </w:r>
      <w:r w:rsidR="00C220A9" w:rsidRPr="001823ED">
        <w:t xml:space="preserve"> Proteobacteria, and streptococci, staphylococci, enterococci, </w:t>
      </w:r>
      <w:proofErr w:type="spellStart"/>
      <w:r w:rsidR="00C220A9" w:rsidRPr="001823ED">
        <w:t>Spirochaetaceae</w:t>
      </w:r>
      <w:proofErr w:type="spellEnd"/>
      <w:r w:rsidR="00C220A9" w:rsidRPr="001823ED">
        <w:t xml:space="preserve">, </w:t>
      </w:r>
      <w:r w:rsidR="00C220A9" w:rsidRPr="001823ED">
        <w:rPr>
          <w:i/>
          <w:iCs/>
        </w:rPr>
        <w:t>Listeria</w:t>
      </w:r>
      <w:r w:rsidR="00C220A9" w:rsidRPr="001823ED">
        <w:t xml:space="preserve">, </w:t>
      </w:r>
      <w:r w:rsidR="00361C44" w:rsidRPr="001823ED">
        <w:rPr>
          <w:i/>
          <w:iCs/>
        </w:rPr>
        <w:t>Chlamydia</w:t>
      </w:r>
      <w:r w:rsidR="00C220A9" w:rsidRPr="001823ED">
        <w:rPr>
          <w:i/>
          <w:iCs/>
        </w:rPr>
        <w:t xml:space="preserve"> trachomatis</w:t>
      </w:r>
      <w:r w:rsidR="00C220A9" w:rsidRPr="001823ED">
        <w:t xml:space="preserve">, and </w:t>
      </w:r>
      <w:r w:rsidR="00361C44" w:rsidRPr="001823ED">
        <w:rPr>
          <w:i/>
          <w:iCs/>
        </w:rPr>
        <w:t>Neisseria</w:t>
      </w:r>
      <w:r w:rsidR="00C220A9" w:rsidRPr="001823ED">
        <w:rPr>
          <w:i/>
          <w:iCs/>
        </w:rPr>
        <w:t xml:space="preserve"> gonorrhoeae</w:t>
      </w:r>
      <w:r w:rsidRPr="001823ED">
        <w:t>); and other bacteria</w:t>
      </w:r>
      <w:r w:rsidR="00C220A9" w:rsidRPr="001823ED">
        <w:t xml:space="preserve"> (a rest group, containing Actin</w:t>
      </w:r>
      <w:r w:rsidRPr="001823ED">
        <w:t>obacteria that are known to be (facultative)</w:t>
      </w:r>
      <w:r w:rsidR="00C220A9" w:rsidRPr="001823ED">
        <w:t xml:space="preserve"> aerobic skin bacteria, </w:t>
      </w:r>
      <w:r w:rsidR="00C220A9" w:rsidRPr="001823ED">
        <w:rPr>
          <w:i/>
          <w:iCs/>
        </w:rPr>
        <w:t>Bifidobacterium</w:t>
      </w:r>
      <w:r w:rsidR="00C220A9" w:rsidRPr="001823ED">
        <w:t xml:space="preserve"> species, and difficult-to-classify minority species). Within each sample, read counts of ASVs belonging to the same bacterial group were summed. This resulted in four continuous relative abundance variables (one for each bacterial group) per sample, which sum to</w:t>
      </w:r>
      <w:r w:rsidRPr="001823ED">
        <w:t xml:space="preserve"> 1.0 for each sample. W</w:t>
      </w:r>
      <w:r w:rsidR="00C220A9" w:rsidRPr="001823ED">
        <w:t xml:space="preserve">e </w:t>
      </w:r>
      <w:r w:rsidRPr="001823ED">
        <w:t xml:space="preserve">subsequently </w:t>
      </w:r>
      <w:r w:rsidR="00C220A9" w:rsidRPr="001823ED">
        <w:t xml:space="preserve">converted these bacterial group relative abundances into estimated concentrations (again four continuous variables, one for each bacterial group) making use of the </w:t>
      </w:r>
      <w:proofErr w:type="spellStart"/>
      <w:r w:rsidR="00C220A9" w:rsidRPr="001823ED">
        <w:t>BactQuant</w:t>
      </w:r>
      <w:proofErr w:type="spellEnd"/>
      <w:r w:rsidR="00C220A9" w:rsidRPr="001823ED">
        <w:t xml:space="preserve"> results</w:t>
      </w:r>
      <w:r w:rsidR="001D46B6" w:rsidRPr="001823ED">
        <w:t xml:space="preserve"> as described above</w:t>
      </w:r>
      <w:r w:rsidR="00C220A9" w:rsidRPr="001823ED">
        <w:t xml:space="preserve">. The </w:t>
      </w:r>
      <w:proofErr w:type="spellStart"/>
      <w:r w:rsidR="00C220A9" w:rsidRPr="001823ED">
        <w:t>BactQuant</w:t>
      </w:r>
      <w:proofErr w:type="spellEnd"/>
      <w:r w:rsidR="00C220A9" w:rsidRPr="001823ED">
        <w:t xml:space="preserve"> data were also used to determine estimated concentrations of taxa of interest and the total bacterial load in each sample. </w:t>
      </w:r>
    </w:p>
    <w:p w14:paraId="23A96DA6" w14:textId="72F266E2" w:rsidR="00411C71" w:rsidRPr="001823ED" w:rsidRDefault="00411C71" w:rsidP="009D21B5">
      <w:pPr>
        <w:widowControl w:val="0"/>
        <w:rPr>
          <w:highlight w:val="cyan"/>
        </w:rPr>
      </w:pPr>
    </w:p>
    <w:p w14:paraId="7434058D" w14:textId="38564313" w:rsidR="00411C71" w:rsidRPr="001823ED" w:rsidRDefault="006E74F0" w:rsidP="009D21B5">
      <w:pPr>
        <w:widowControl w:val="0"/>
        <w:rPr>
          <w:i/>
          <w:noProof/>
        </w:rPr>
      </w:pPr>
      <w:r w:rsidRPr="001823ED">
        <w:rPr>
          <w:i/>
          <w:noProof/>
        </w:rPr>
        <w:t xml:space="preserve">Example </w:t>
      </w:r>
      <w:r w:rsidR="001D46B6" w:rsidRPr="001823ED">
        <w:rPr>
          <w:i/>
          <w:noProof/>
        </w:rPr>
        <w:t>to illustrate VMB types and bacterial groups</w:t>
      </w:r>
    </w:p>
    <w:p w14:paraId="0AC5D941" w14:textId="77A2D261" w:rsidR="00411C71" w:rsidRDefault="00411C71" w:rsidP="009D21B5">
      <w:pPr>
        <w:widowControl w:val="0"/>
        <w:rPr>
          <w:noProof/>
        </w:rPr>
      </w:pPr>
      <w:r w:rsidRPr="001823ED">
        <w:rPr>
          <w:noProof/>
        </w:rPr>
        <w:t xml:space="preserve">A sample containing </w:t>
      </w:r>
      <w:r w:rsidR="001D46B6" w:rsidRPr="001823ED">
        <w:rPr>
          <w:noProof/>
        </w:rPr>
        <w:t xml:space="preserve">a </w:t>
      </w:r>
      <w:r w:rsidRPr="001823ED">
        <w:rPr>
          <w:noProof/>
        </w:rPr>
        <w:t xml:space="preserve">30% </w:t>
      </w:r>
      <w:r w:rsidR="001D46B6" w:rsidRPr="001823ED">
        <w:rPr>
          <w:noProof/>
        </w:rPr>
        <w:t xml:space="preserve">relative abundance of </w:t>
      </w:r>
      <w:r w:rsidRPr="001823ED">
        <w:rPr>
          <w:i/>
          <w:noProof/>
        </w:rPr>
        <w:t>L. iners</w:t>
      </w:r>
      <w:r w:rsidR="001D46B6" w:rsidRPr="001823ED">
        <w:rPr>
          <w:noProof/>
        </w:rPr>
        <w:t>, 30% other lactobacilli, and 4</w:t>
      </w:r>
      <w:r w:rsidRPr="001823ED">
        <w:rPr>
          <w:noProof/>
        </w:rPr>
        <w:t xml:space="preserve">0% </w:t>
      </w:r>
      <w:r w:rsidR="001D46B6" w:rsidRPr="001823ED">
        <w:rPr>
          <w:noProof/>
        </w:rPr>
        <w:t>BV-</w:t>
      </w:r>
      <w:r w:rsidRPr="001823ED">
        <w:rPr>
          <w:noProof/>
        </w:rPr>
        <w:t>anaerobes, would have been assigned to the LA</w:t>
      </w:r>
      <w:r w:rsidR="003D3A49" w:rsidRPr="001823ED">
        <w:rPr>
          <w:noProof/>
        </w:rPr>
        <w:t xml:space="preserve"> VMB type</w:t>
      </w:r>
      <w:r w:rsidRPr="001823ED">
        <w:rPr>
          <w:noProof/>
        </w:rPr>
        <w:t>. If this sample contained one million 16S rRNA genes per μl, and each of the species included in the sample only contained one 16S rR</w:t>
      </w:r>
      <w:r w:rsidR="001D46B6" w:rsidRPr="001823ED">
        <w:rPr>
          <w:noProof/>
        </w:rPr>
        <w:t>NA gene copy, it would contain estimated</w:t>
      </w:r>
      <w:r w:rsidRPr="001823ED">
        <w:rPr>
          <w:noProof/>
        </w:rPr>
        <w:t xml:space="preserve"> </w:t>
      </w:r>
      <w:r w:rsidR="001D46B6" w:rsidRPr="001823ED">
        <w:rPr>
          <w:noProof/>
        </w:rPr>
        <w:t xml:space="preserve">concentrations </w:t>
      </w:r>
      <w:r w:rsidRPr="001823ED">
        <w:rPr>
          <w:noProof/>
        </w:rPr>
        <w:t>of [30%+30%] x one million = 600,000/μl</w:t>
      </w:r>
      <w:r w:rsidR="001D46B6" w:rsidRPr="001823ED">
        <w:rPr>
          <w:noProof/>
        </w:rPr>
        <w:t xml:space="preserve"> lactobacilli</w:t>
      </w:r>
      <w:r w:rsidRPr="001823ED">
        <w:rPr>
          <w:noProof/>
        </w:rPr>
        <w:t xml:space="preserve">, </w:t>
      </w:r>
      <w:r w:rsidR="001D46B6" w:rsidRPr="001823ED">
        <w:rPr>
          <w:noProof/>
        </w:rPr>
        <w:t>[4</w:t>
      </w:r>
      <w:r w:rsidRPr="001823ED">
        <w:rPr>
          <w:noProof/>
        </w:rPr>
        <w:t>0%] x one million = 400,0</w:t>
      </w:r>
      <w:r w:rsidR="001D46B6" w:rsidRPr="001823ED">
        <w:rPr>
          <w:noProof/>
        </w:rPr>
        <w:t xml:space="preserve">00/μl BV-anaerobes, </w:t>
      </w:r>
      <w:r w:rsidRPr="001823ED">
        <w:rPr>
          <w:noProof/>
        </w:rPr>
        <w:t>0/μl</w:t>
      </w:r>
      <w:r w:rsidR="001D46B6" w:rsidRPr="001823ED">
        <w:rPr>
          <w:noProof/>
        </w:rPr>
        <w:t xml:space="preserve"> pathobionts</w:t>
      </w:r>
      <w:r w:rsidRPr="001823ED">
        <w:rPr>
          <w:noProof/>
        </w:rPr>
        <w:t>, and 0/μl</w:t>
      </w:r>
      <w:r w:rsidR="001D46B6" w:rsidRPr="001823ED">
        <w:rPr>
          <w:noProof/>
        </w:rPr>
        <w:t xml:space="preserve"> other bacteria</w:t>
      </w:r>
      <w:r w:rsidRPr="001823ED">
        <w:rPr>
          <w:noProof/>
        </w:rPr>
        <w:t xml:space="preserve">. </w:t>
      </w:r>
    </w:p>
    <w:p w14:paraId="3C6DC1D5" w14:textId="59B1E61D" w:rsidR="00E054E8" w:rsidRDefault="00E054E8" w:rsidP="009D21B5">
      <w:pPr>
        <w:widowControl w:val="0"/>
        <w:rPr>
          <w:noProof/>
        </w:rPr>
      </w:pPr>
    </w:p>
    <w:p w14:paraId="683E459A" w14:textId="504E57CB" w:rsidR="00E054E8" w:rsidRDefault="00E054E8" w:rsidP="0086354C">
      <w:pPr>
        <w:pStyle w:val="Heading2"/>
      </w:pPr>
      <w:bookmarkStart w:id="20" w:name="_Toc69722993"/>
      <w:r w:rsidRPr="00CC2D1E">
        <w:t xml:space="preserve">Assessment of </w:t>
      </w:r>
      <w:r w:rsidR="00CC2D1E" w:rsidRPr="00CC2D1E">
        <w:t>change</w:t>
      </w:r>
      <w:r w:rsidR="00330BD0">
        <w:t>s</w:t>
      </w:r>
      <w:r w:rsidR="00CC2D1E" w:rsidRPr="00CC2D1E">
        <w:t xml:space="preserve"> in VMB</w:t>
      </w:r>
      <w:r w:rsidR="00330BD0">
        <w:t xml:space="preserve"> compositions</w:t>
      </w:r>
      <w:r w:rsidR="00CC2D1E" w:rsidRPr="00CC2D1E">
        <w:t xml:space="preserve"> between 16 and 20 weeks gestation</w:t>
      </w:r>
      <w:r w:rsidR="00CC2D1E">
        <w:t>.</w:t>
      </w:r>
      <w:bookmarkEnd w:id="20"/>
    </w:p>
    <w:p w14:paraId="18D5C94B" w14:textId="58E8506B" w:rsidR="00E054E8" w:rsidRDefault="00E054E8" w:rsidP="00E054E8">
      <w:pPr>
        <w:widowControl w:val="0"/>
      </w:pPr>
      <w:r>
        <w:rPr>
          <w:noProof/>
        </w:rPr>
        <w:t>In order to assess whether</w:t>
      </w:r>
      <w:r w:rsidR="0021090C">
        <w:rPr>
          <w:noProof/>
        </w:rPr>
        <w:t xml:space="preserve"> it was acceptable</w:t>
      </w:r>
      <w:r>
        <w:rPr>
          <w:noProof/>
        </w:rPr>
        <w:t xml:space="preserve"> to maximise our study numbers by combining valid sequencing results from the study visits at approximately </w:t>
      </w:r>
      <w:r w:rsidRPr="001823ED">
        <w:t>16 weeks (15</w:t>
      </w:r>
      <w:r w:rsidRPr="001823ED">
        <w:rPr>
          <w:vertAlign w:val="superscript"/>
        </w:rPr>
        <w:t>+1</w:t>
      </w:r>
      <w:r w:rsidRPr="001823ED">
        <w:t>-18</w:t>
      </w:r>
      <w:r w:rsidRPr="001823ED">
        <w:rPr>
          <w:vertAlign w:val="superscript"/>
        </w:rPr>
        <w:t>+6</w:t>
      </w:r>
      <w:r w:rsidRPr="001823ED">
        <w:t xml:space="preserve"> weeks) and 20 weeks (19</w:t>
      </w:r>
      <w:r w:rsidRPr="001823ED">
        <w:rPr>
          <w:vertAlign w:val="superscript"/>
        </w:rPr>
        <w:t>+0</w:t>
      </w:r>
      <w:r w:rsidRPr="001823ED">
        <w:t>-23</w:t>
      </w:r>
      <w:r w:rsidRPr="001823ED">
        <w:rPr>
          <w:vertAlign w:val="superscript"/>
        </w:rPr>
        <w:t>+0</w:t>
      </w:r>
      <w:r w:rsidRPr="001823ED">
        <w:t>) gestation</w:t>
      </w:r>
      <w:r>
        <w:t xml:space="preserve"> we utilised the</w:t>
      </w:r>
      <w:r>
        <w:rPr>
          <w:noProof/>
        </w:rPr>
        <w:t xml:space="preserve"> </w:t>
      </w:r>
      <w:r w:rsidRPr="001823ED">
        <w:t>subset of participants who had valid VMB results available for both study visits: 17/22 (77.3%) high-risk participants with early sPTB/PPROM, 71/87 (81.6%) high-risk participants with term births, and 129/145 (89.0%) low-risk participants with term births. Based on a modified version of the stability groups described by Romero</w:t>
      </w:r>
      <w:r w:rsidRPr="001823ED">
        <w:rPr>
          <w:i/>
          <w:iCs/>
        </w:rPr>
        <w:t xml:space="preserve"> et al</w:t>
      </w:r>
      <w:r w:rsidRPr="001823ED">
        <w:rPr>
          <w:i/>
          <w:iCs/>
        </w:rPr>
        <w:fldChar w:fldCharType="begin" w:fldLock="1"/>
      </w:r>
      <w:r>
        <w:rPr>
          <w:i/>
          <w:iCs/>
        </w:rPr>
        <w:instrText>ADDIN CSL_CITATION {"citationItems":[{"id":"ITEM-1","itemData":{"DOI":"10.1186/2049-2618-2-4","ISBN":"2049-2618 (Electronic)\\n2049-2618 (Linking)","ISSN":"20492618","PMID":"24484853","abstract":"BACKGROUND: This study was undertaken to characterize the vaginal microbiota throughout normal human pregnancy using sequence-based techniques. We compared the vaginal microbial composition of non-pregnant patients with a group of pregnant women who delivered at term.\\n\\nRESULTS: A retrospective case-control longitudinal study was designed and included non-pregnant women (n = 32) and pregnant women who delivered at term (38 to 42 weeks) without complications (n = 22). Serial samples of vaginal fluid were collected from both non-pregnant and pregnant patients. A 16S rRNA gene sequence-based survey was conducted using pyrosequencing to characterize the structure and stability of the vaginal microbiota. Linear mixed effects models and generalized estimating equations were used to identify the phylotypes whose relative abundance was different between the two study groups. The vaginal microbiota of normal pregnant women was different from that of non-pregnant women (higher abundance of Lactobacillus vaginalis, L. crispatus, L. gasseri and L. jensenii and lower abundance of 22 other phylotypes in pregnant women). Bacterial community state type (CST) IV-B or CST IV-A characterized by high relative abundance of species of genus Atopobium as well as the presence of Prevotella, Sneathia, Gardnerella, Ruminococcaceae, Parvimonas, Mobiluncus and other taxa previously shown to be associated with bacterial vaginosis were less frequent in normal pregnancy. The stability of the vaginal microbiota of pregnant women was higher than that of non-pregnant women; however, during normal pregnancy, bacterial communities shift almost exclusively from one CST dominated by Lactobacillus spp. to another CST dominated by Lactobacillus spp.\\n\\nCONCLUSION: We report the first longitudinal study of the vaginal microbiota in normal pregnancy. Differences in the composition and stability of the microbial community between pregnant and non-pregnant women were observed. Lactobacillus spp. were the predominant members of the microbial community in normal pregnancy. These results can serve as the basis to study the relationship between the vaginal microbiome and adverse pregnancy outcomes.","author":[{"dropping-particle":"","family":"Romero","given":"Roberto","non-dropping-particle":"","parse-names":false,"suffix":""},{"dropping-particle":"","family":"Hassan","given":"Sonia S.","non-dropping-particle":"","parse-names":false,"suffix":""},{"dropping-particle":"","family":"Gajer","given":"Pawel","non-dropping-particle":"","parse-names":false,"suffix":""},{"dropping-particle":"","family":"Tarca","given":"Adi L.","non-dropping-particle":"","parse-names":false,"suffix":""},{"dropping-particle":"","family":"Fadrosh","given":"Douglas W.","non-dropping-particle":"","parse-names":false,"suffix":""},{"dropping-particle":"","family":"Nikita","given":"Lorraine","non-dropping-particle":"","parse-names":false,"suffix":""},{"dropping-particle":"","family":"Galuppi","given":"Marisa","non-dropping-particle":"","parse-names":false,"suffix":""},{"dropping-particle":"","family":"Lamont","given":"Ronald F.","non-dropping-particle":"","parse-names":false,"suffix":""},{"dropping-particle":"","family":"Chaemsaithong","given":"Piya","non-dropping-particle":"","parse-names":false,"suffix":""},{"dropping-particle":"","family":"Miranda","given":"Jezid","non-dropping-particle":"","parse-names":false,"suffix":""},{"dropping-particle":"","family":"Chaiworapongsa","given":"Tinnakorn","non-dropping-particle":"","parse-names":false,"suffix":""},{"dropping-particle":"","family":"Ravel","given":"Jacques","non-dropping-particle":"","parse-names":false,"suffix":""}],"container-title":"Microbiome","id":"ITEM-1","issue":"1","issued":{"date-parts":[["2014"]]},"page":"1-19","title":"The composition and stability of the vaginal microbiota of normal pregnant women is different from that of non-pregnant women","type":"article-journal","volume":"2"},"uris":["http://www.mendeley.com/documents/?uuid=54eb01ad-0560-4d1a-8653-4237824f3bef"]}],"mendeley":{"formattedCitation":"&lt;sup&gt;17&lt;/sup&gt;","plainTextFormattedCitation":"17","previouslyFormattedCitation":"&lt;sup&gt;17&lt;/sup&gt;"},"properties":{"noteIndex":0},"schema":"https://github.com/citation-style-language/schema/raw/master/csl-citation.json"}</w:instrText>
      </w:r>
      <w:r w:rsidRPr="001823ED">
        <w:rPr>
          <w:i/>
          <w:iCs/>
        </w:rPr>
        <w:fldChar w:fldCharType="separate"/>
      </w:r>
      <w:r w:rsidRPr="0042078F">
        <w:rPr>
          <w:iCs/>
          <w:noProof/>
          <w:vertAlign w:val="superscript"/>
        </w:rPr>
        <w:t>17</w:t>
      </w:r>
      <w:r w:rsidRPr="001823ED">
        <w:rPr>
          <w:i/>
          <w:iCs/>
        </w:rPr>
        <w:fldChar w:fldCharType="end"/>
      </w:r>
      <w:r w:rsidRPr="001823ED">
        <w:rPr>
          <w:i/>
          <w:iCs/>
        </w:rPr>
        <w:t xml:space="preserve"> </w:t>
      </w:r>
      <w:r w:rsidRPr="001823ED">
        <w:t xml:space="preserve">each participant was allocated to one of five groups: 1) same lactobacilli ( ≥75% lactobacilli (=lactobacilli-dominant or LD) at both visits with dominance of the same species); (2) different lactobacilli (LD at both visits with dominance of different species); (3) persistently non- LD (non-LD at both visits); 4) non-LD to LD (non-LD at the first visit and LD at the second visit); and 5) LD to non-LD (LD at the first visit and non-LD at the second visit). </w:t>
      </w:r>
      <w:r w:rsidRPr="001823ED">
        <w:rPr>
          <w:highlight w:val="cyan"/>
        </w:rPr>
        <w:t xml:space="preserve"> </w:t>
      </w:r>
    </w:p>
    <w:p w14:paraId="1C260885" w14:textId="447EB995" w:rsidR="00E054E8" w:rsidRDefault="00E054E8" w:rsidP="00E054E8">
      <w:pPr>
        <w:widowControl w:val="0"/>
      </w:pPr>
    </w:p>
    <w:p w14:paraId="43E55D08" w14:textId="6808170C" w:rsidR="00CC2D1E" w:rsidRPr="004B23B9" w:rsidRDefault="00CC2D1E" w:rsidP="00CC2D1E">
      <w:pPr>
        <w:widowControl w:val="0"/>
      </w:pPr>
      <w:r w:rsidRPr="004B23B9">
        <w:t>The VMB of the majority of participants with samples available from both visits between 15</w:t>
      </w:r>
      <w:r w:rsidRPr="004B23B9">
        <w:rPr>
          <w:vertAlign w:val="superscript"/>
        </w:rPr>
        <w:t>+0</w:t>
      </w:r>
      <w:r w:rsidRPr="004B23B9">
        <w:t xml:space="preserve"> and 23</w:t>
      </w:r>
      <w:r w:rsidRPr="004B23B9">
        <w:rPr>
          <w:vertAlign w:val="superscript"/>
        </w:rPr>
        <w:t>+0</w:t>
      </w:r>
      <w:r w:rsidRPr="004B23B9">
        <w:t xml:space="preserve"> weeks gestation was stable (Table </w:t>
      </w:r>
      <w:r>
        <w:t>A5</w:t>
      </w:r>
      <w:r w:rsidRPr="004B23B9">
        <w:t xml:space="preserve">). About two thirds of the high-risk (65.9%) and low-risk women (64.3%) were dominated by the same </w:t>
      </w:r>
      <w:r w:rsidRPr="004B23B9">
        <w:rPr>
          <w:i/>
          <w:iCs/>
        </w:rPr>
        <w:t xml:space="preserve">Lactobacillus </w:t>
      </w:r>
      <w:r w:rsidRPr="004B23B9">
        <w:t xml:space="preserve">species at both visits, and 14.8% of high-risk and 22.5% of low-risk women continued to have some degree of anaerobic dysbiosis. The remaining women switched </w:t>
      </w:r>
      <w:r w:rsidRPr="004B23B9">
        <w:rPr>
          <w:i/>
          <w:iCs/>
        </w:rPr>
        <w:t xml:space="preserve">Lactobacillus </w:t>
      </w:r>
      <w:r w:rsidRPr="004B23B9">
        <w:t xml:space="preserve">species (n=5) or </w:t>
      </w:r>
      <w:r>
        <w:t>shifted from</w:t>
      </w:r>
      <w:r w:rsidRPr="004B23B9">
        <w:t xml:space="preserve"> lactobacilli-domination </w:t>
      </w:r>
      <w:r>
        <w:t>to</w:t>
      </w:r>
      <w:r w:rsidRPr="004B23B9">
        <w:t xml:space="preserve"> anaerobic dysbiosis (n=12) or vice-versa (n=17).</w:t>
      </w:r>
    </w:p>
    <w:p w14:paraId="4CA2643E" w14:textId="19692611" w:rsidR="00E054E8" w:rsidRDefault="00E054E8" w:rsidP="00E054E8">
      <w:pPr>
        <w:widowControl w:val="0"/>
        <w:rPr>
          <w:noProof/>
        </w:rPr>
      </w:pPr>
    </w:p>
    <w:p w14:paraId="71E61391" w14:textId="0BD54B67" w:rsidR="00CC2D1E" w:rsidRPr="00E054E8" w:rsidRDefault="00CC2D1E" w:rsidP="00E054E8">
      <w:pPr>
        <w:widowControl w:val="0"/>
        <w:rPr>
          <w:noProof/>
        </w:rPr>
      </w:pPr>
      <w:r>
        <w:rPr>
          <w:noProof/>
        </w:rPr>
        <w:t>Based on this analysis</w:t>
      </w:r>
      <w:r w:rsidR="0086354C">
        <w:rPr>
          <w:noProof/>
        </w:rPr>
        <w:t>,</w:t>
      </w:r>
      <w:r>
        <w:rPr>
          <w:noProof/>
        </w:rPr>
        <w:t xml:space="preserve"> the study team deci</w:t>
      </w:r>
      <w:r w:rsidR="0086354C">
        <w:rPr>
          <w:noProof/>
        </w:rPr>
        <w:t>ded</w:t>
      </w:r>
      <w:r>
        <w:rPr>
          <w:noProof/>
        </w:rPr>
        <w:t xml:space="preserve"> to maximise the number of participants available </w:t>
      </w:r>
      <w:r w:rsidR="00E418FA">
        <w:rPr>
          <w:noProof/>
        </w:rPr>
        <w:t xml:space="preserve">for analysis in the main study </w:t>
      </w:r>
      <w:r>
        <w:rPr>
          <w:noProof/>
        </w:rPr>
        <w:t>by using the first set of valid sequencing results for each participant obtained at either study visit.</w:t>
      </w:r>
    </w:p>
    <w:p w14:paraId="632C3CCC" w14:textId="00767862" w:rsidR="00411C71" w:rsidRPr="001823ED" w:rsidRDefault="00411C71" w:rsidP="009D21B5">
      <w:pPr>
        <w:widowControl w:val="0"/>
        <w:rPr>
          <w:i/>
          <w:noProof/>
        </w:rPr>
      </w:pPr>
    </w:p>
    <w:p w14:paraId="795308F7" w14:textId="1939CEF9" w:rsidR="00492ACD" w:rsidRPr="001823ED" w:rsidRDefault="00492ACD" w:rsidP="009D21B5">
      <w:pPr>
        <w:pStyle w:val="Heading2"/>
        <w:keepNext w:val="0"/>
        <w:keepLines w:val="0"/>
        <w:widowControl w:val="0"/>
        <w:rPr>
          <w:noProof/>
        </w:rPr>
      </w:pPr>
      <w:bookmarkStart w:id="21" w:name="_Toc69722994"/>
      <w:r w:rsidRPr="001823ED">
        <w:rPr>
          <w:noProof/>
        </w:rPr>
        <w:t>Statistical analyses</w:t>
      </w:r>
      <w:bookmarkEnd w:id="21"/>
    </w:p>
    <w:p w14:paraId="6B75CB8C" w14:textId="77777777" w:rsidR="00492ACD" w:rsidRPr="001823ED" w:rsidRDefault="00492ACD" w:rsidP="009D21B5">
      <w:pPr>
        <w:widowControl w:val="0"/>
        <w:rPr>
          <w:i/>
          <w:noProof/>
        </w:rPr>
      </w:pPr>
    </w:p>
    <w:p w14:paraId="1CCAB8E9" w14:textId="24245809" w:rsidR="00411C71" w:rsidRPr="001823ED" w:rsidRDefault="007C5946" w:rsidP="009D21B5">
      <w:pPr>
        <w:widowControl w:val="0"/>
        <w:rPr>
          <w:i/>
          <w:noProof/>
        </w:rPr>
      </w:pPr>
      <w:r w:rsidRPr="001823ED">
        <w:rPr>
          <w:i/>
          <w:noProof/>
        </w:rPr>
        <w:t>Software used</w:t>
      </w:r>
    </w:p>
    <w:p w14:paraId="282476B9" w14:textId="16B924C9" w:rsidR="00411C71" w:rsidRPr="001823ED" w:rsidRDefault="007C5946" w:rsidP="009D21B5">
      <w:pPr>
        <w:widowControl w:val="0"/>
      </w:pPr>
      <w:r w:rsidRPr="001823ED">
        <w:t xml:space="preserve">Clinical </w:t>
      </w:r>
      <w:r w:rsidR="006B20B6" w:rsidRPr="001823ED">
        <w:t xml:space="preserve">and laboratory </w:t>
      </w:r>
      <w:r w:rsidRPr="001823ED">
        <w:t xml:space="preserve">data we entered into a Microsoft Excel spreadsheet. </w:t>
      </w:r>
      <w:r w:rsidR="00E135BA" w:rsidRPr="001823ED">
        <w:t>Statistic</w:t>
      </w:r>
      <w:r w:rsidR="006B20B6" w:rsidRPr="001823ED">
        <w:t>al analyse</w:t>
      </w:r>
      <w:r w:rsidR="00E135BA" w:rsidRPr="001823ED">
        <w:t xml:space="preserve">s, </w:t>
      </w:r>
      <w:r w:rsidR="00411C71" w:rsidRPr="001823ED">
        <w:t xml:space="preserve">bar charts, and </w:t>
      </w:r>
      <w:r w:rsidR="006B20B6" w:rsidRPr="001823ED">
        <w:t>scatter plots were done</w:t>
      </w:r>
      <w:r w:rsidR="00AB503E" w:rsidRPr="001823ED">
        <w:t xml:space="preserve"> in STATA</w:t>
      </w:r>
      <w:r w:rsidR="00E0092E" w:rsidRPr="001823ED">
        <w:t xml:space="preserve"> version 15</w:t>
      </w:r>
      <w:r w:rsidR="00754F9A" w:rsidRPr="001823ED">
        <w:t>.1 (</w:t>
      </w:r>
      <w:proofErr w:type="spellStart"/>
      <w:r w:rsidR="00754F9A" w:rsidRPr="001823ED">
        <w:rPr>
          <w:noProof/>
        </w:rPr>
        <w:t>StataCorp</w:t>
      </w:r>
      <w:proofErr w:type="spellEnd"/>
      <w:r w:rsidR="00754F9A" w:rsidRPr="001823ED">
        <w:rPr>
          <w:noProof/>
        </w:rPr>
        <w:t>, College Station, TX, USA)</w:t>
      </w:r>
      <w:r w:rsidR="00754F9A" w:rsidRPr="001823ED">
        <w:t>.</w:t>
      </w:r>
      <w:r w:rsidR="006B20B6" w:rsidRPr="001823ED">
        <w:t xml:space="preserve"> The h</w:t>
      </w:r>
      <w:r w:rsidR="001418A5" w:rsidRPr="001823ED">
        <w:t>eatmap</w:t>
      </w:r>
      <w:r w:rsidR="00411C71" w:rsidRPr="001823ED">
        <w:t xml:space="preserve"> </w:t>
      </w:r>
      <w:r w:rsidR="001418A5" w:rsidRPr="001823ED">
        <w:t>in Figure A1 was</w:t>
      </w:r>
      <w:r w:rsidR="00411C71" w:rsidRPr="001823ED">
        <w:t xml:space="preserve"> made using the </w:t>
      </w:r>
      <w:proofErr w:type="spellStart"/>
      <w:r w:rsidR="00411C71" w:rsidRPr="001823ED">
        <w:rPr>
          <w:i/>
        </w:rPr>
        <w:t>gplots</w:t>
      </w:r>
      <w:proofErr w:type="spellEnd"/>
      <w:r w:rsidR="00411C71" w:rsidRPr="001823ED">
        <w:t xml:space="preserve"> package</w:t>
      </w:r>
      <w:r w:rsidRPr="001823ED">
        <w:t xml:space="preserve"> in R</w:t>
      </w:r>
      <w:r w:rsidR="00AB503E" w:rsidRPr="001823ED">
        <w:t xml:space="preserve"> version 3.5.1</w:t>
      </w:r>
      <w:r w:rsidR="00754F9A" w:rsidRPr="001823ED">
        <w:t xml:space="preserve"> </w:t>
      </w:r>
      <w:r w:rsidR="00754F9A" w:rsidRPr="001823ED">
        <w:rPr>
          <w:lang w:eastAsia="en-US"/>
        </w:rPr>
        <w:t>(R core team, 2015).</w:t>
      </w:r>
      <w:r w:rsidR="00F518EA">
        <w:rPr>
          <w:lang w:eastAsia="en-US"/>
        </w:rPr>
        <w:fldChar w:fldCharType="begin" w:fldLock="1"/>
      </w:r>
      <w:r w:rsidR="0057070F">
        <w:rPr>
          <w:lang w:eastAsia="en-US"/>
        </w:rPr>
        <w:instrText>ADDIN CSL_CITATION {"citationItems":[{"id":"ITEM-1","itemData":{"author":[{"dropping-particle":"","family":"Warnes","given":"G","non-dropping-particle":"","parse-names":false,"suffix":""},{"dropping-particle":"","family":"Bolker","given":"B","non-dropping-particle":"","parse-names":false,"suffix":""},{"dropping-particle":"","family":"Bonebakker","given":"L","non-dropping-particle":"","parse-names":false,"suffix":""},{"dropping-particle":"","family":"Gentleman","given":"R","non-dropping-particle":"","parse-names":false,"suffix":""},{"dropping-particle":"","family":"Liaw","given":"Wha","non-dropping-particle":"","parse-names":false,"suffix":""},{"dropping-particle":"","family":"Lumley","given":"T","non-dropping-particle":"","parse-names":false,"suffix":""},{"dropping-particle":"","family":"Mächler","given":"M","non-dropping-particle":"","parse-names":false,"suffix":""},{"dropping-particle":"","family":"Magnússon","given":"Á","non-dropping-particle":"","parse-names":false,"suffix":""},{"dropping-particle":"","family":"Moeller","given":"S","non-dropping-particle":"","parse-names":false,"suffix":""},{"dropping-particle":"","family":"Schwartz","given":"M","non-dropping-particle":"","parse-names":false,"suffix":""},{"dropping-particle":"","family":"Venables","given":"B","non-dropping-particle":"","parse-names":false,"suffix":""},{"dropping-particle":"","family":"Huber","given":"W","non-dropping-particle":"","parse-names":false,"suffix":""},{"dropping-particle":"","family":"Liaw","given":"A","non-dropping-particle":"","parse-names":false,"suffix":""},{"dropping-particle":"","family":"Gregory","given":"R","non-dropping-particle":"","parse-names":false,"suffix":""},{"dropping-particle":"","family":"Warnes","given":"B B","non-dropping-particle":"","parse-names":false,"suffix":""},{"dropping-particle":"","family":"Liaw","given":"Wolfgang Huber Andy","non-dropping-particle":"","parse-names":false,"suffix":""}],"id":"ITEM-1","issued":{"date-parts":[["2015"]]},"title":"gplots: Various R Programming Tools for Plotting Data","type":"paper-conference"},"uris":["http://www.mendeley.com/documents/?uuid=a8c8c4c9-f454-4888-a4a7-bb9e6bd5d150"]}],"mendeley":{"formattedCitation":"&lt;sup&gt;20&lt;/sup&gt;","plainTextFormattedCitation":"20","previouslyFormattedCitation":"&lt;sup&gt;20&lt;/sup&gt;"},"properties":{"noteIndex":0},"schema":"https://github.com/citation-style-language/schema/raw/master/csl-citation.json"}</w:instrText>
      </w:r>
      <w:r w:rsidR="00F518EA">
        <w:rPr>
          <w:lang w:eastAsia="en-US"/>
        </w:rPr>
        <w:fldChar w:fldCharType="separate"/>
      </w:r>
      <w:r w:rsidR="00F518EA" w:rsidRPr="00F518EA">
        <w:rPr>
          <w:noProof/>
          <w:vertAlign w:val="superscript"/>
          <w:lang w:eastAsia="en-US"/>
        </w:rPr>
        <w:t>20</w:t>
      </w:r>
      <w:r w:rsidR="00F518EA">
        <w:rPr>
          <w:lang w:eastAsia="en-US"/>
        </w:rPr>
        <w:fldChar w:fldCharType="end"/>
      </w:r>
      <w:r w:rsidR="00FD0943" w:rsidRPr="001823ED">
        <w:t xml:space="preserve"> </w:t>
      </w:r>
      <w:r w:rsidR="001F5BA1">
        <w:t>The Venn diagrams</w:t>
      </w:r>
      <w:r w:rsidR="00812814" w:rsidRPr="001823ED">
        <w:t xml:space="preserve"> </w:t>
      </w:r>
      <w:r w:rsidR="006B20B6" w:rsidRPr="001823ED">
        <w:t xml:space="preserve">in Figure A2 </w:t>
      </w:r>
      <w:r w:rsidR="00812814" w:rsidRPr="001823ED">
        <w:t>were</w:t>
      </w:r>
      <w:r w:rsidR="008C37B6" w:rsidRPr="001823ED">
        <w:t xml:space="preserve"> made using a website produced by Meta-</w:t>
      </w:r>
      <w:r w:rsidR="008C37B6" w:rsidRPr="001B661E">
        <w:t>Chart.</w:t>
      </w:r>
      <w:r w:rsidR="008C37B6" w:rsidRPr="008778FC">
        <w:fldChar w:fldCharType="begin" w:fldLock="1"/>
      </w:r>
      <w:r w:rsidR="0057070F">
        <w:instrText>ADDIN CSL_CITATION {"citationItems":[{"id":"ITEM-1","itemData":{"author":[{"dropping-particle":"","family":"Meta-Chart","given":"","non-dropping-particle":"","parse-names":false,"suffix":""}],"id":"ITEM-1","issued":{"date-parts":[["0"]]},"title":"Venn Diagram Maker Online","type":"webpage"},"uris":["http://www.mendeley.com/documents/?uuid=b7a187fa-1090-4465-b5c4-fd04f9faf6e5"]}],"mendeley":{"formattedCitation":"&lt;sup&gt;21&lt;/sup&gt;","plainTextFormattedCitation":"21","previouslyFormattedCitation":"&lt;sup&gt;21&lt;/sup&gt;"},"properties":{"noteIndex":0},"schema":"https://github.com/citation-style-language/schema/raw/master/csl-citation.json"}</w:instrText>
      </w:r>
      <w:r w:rsidR="008C37B6" w:rsidRPr="008778FC">
        <w:fldChar w:fldCharType="separate"/>
      </w:r>
      <w:r w:rsidR="00F518EA" w:rsidRPr="00655286">
        <w:rPr>
          <w:noProof/>
          <w:vertAlign w:val="superscript"/>
        </w:rPr>
        <w:t>21</w:t>
      </w:r>
      <w:r w:rsidR="008C37B6" w:rsidRPr="008778FC">
        <w:fldChar w:fldCharType="end"/>
      </w:r>
    </w:p>
    <w:p w14:paraId="08B428B5" w14:textId="22F7176C" w:rsidR="006E74F0" w:rsidRPr="001823ED" w:rsidRDefault="006E74F0" w:rsidP="009D21B5">
      <w:pPr>
        <w:widowControl w:val="0"/>
      </w:pPr>
    </w:p>
    <w:p w14:paraId="32549F4C" w14:textId="07065781" w:rsidR="007C5946" w:rsidRPr="001823ED" w:rsidRDefault="007C5946" w:rsidP="009D21B5">
      <w:pPr>
        <w:widowControl w:val="0"/>
        <w:rPr>
          <w:i/>
        </w:rPr>
      </w:pPr>
      <w:r w:rsidRPr="001823ED">
        <w:rPr>
          <w:i/>
        </w:rPr>
        <w:t>Sample size calculation</w:t>
      </w:r>
    </w:p>
    <w:p w14:paraId="737000D2" w14:textId="2EB6F35B" w:rsidR="007C5946" w:rsidRPr="001823ED" w:rsidRDefault="008C37B6" w:rsidP="009D21B5">
      <w:pPr>
        <w:widowControl w:val="0"/>
      </w:pPr>
      <w:r w:rsidRPr="001823ED">
        <w:t xml:space="preserve">No formal </w:t>
      </w:r>
      <w:r w:rsidR="007C5946" w:rsidRPr="001823ED">
        <w:t xml:space="preserve">sample size </w:t>
      </w:r>
      <w:r w:rsidRPr="001823ED">
        <w:t>calcula</w:t>
      </w:r>
      <w:r w:rsidR="009D21B5" w:rsidRPr="001823ED">
        <w:t xml:space="preserve">tions were done </w:t>
      </w:r>
      <w:r w:rsidR="009C1C89" w:rsidRPr="001823ED">
        <w:t>because this was a</w:t>
      </w:r>
      <w:r w:rsidRPr="001823ED">
        <w:t xml:space="preserve"> secondary</w:t>
      </w:r>
      <w:r w:rsidR="007C5946" w:rsidRPr="001823ED">
        <w:t xml:space="preserve"> exploratory analysis. </w:t>
      </w:r>
    </w:p>
    <w:p w14:paraId="3EA1E189" w14:textId="3474760A" w:rsidR="00CB4FFD" w:rsidRDefault="00CB4FFD">
      <w:pPr>
        <w:rPr>
          <w:i/>
        </w:rPr>
      </w:pPr>
    </w:p>
    <w:p w14:paraId="1BDE2F86" w14:textId="2056D7CF" w:rsidR="00CF34F8" w:rsidRPr="001823ED" w:rsidRDefault="00C5081D" w:rsidP="009D21B5">
      <w:pPr>
        <w:widowControl w:val="0"/>
        <w:rPr>
          <w:i/>
        </w:rPr>
      </w:pPr>
      <w:r w:rsidRPr="001823ED">
        <w:rPr>
          <w:i/>
        </w:rPr>
        <w:t>Statistical analyse</w:t>
      </w:r>
      <w:r w:rsidR="00D3501C" w:rsidRPr="001823ED">
        <w:rPr>
          <w:i/>
        </w:rPr>
        <w:t>s performed</w:t>
      </w:r>
    </w:p>
    <w:p w14:paraId="117E75AE" w14:textId="41F6D905" w:rsidR="00541192" w:rsidRPr="001823ED" w:rsidRDefault="00406B51" w:rsidP="009D21B5">
      <w:pPr>
        <w:widowControl w:val="0"/>
      </w:pPr>
      <w:r w:rsidRPr="001823ED">
        <w:t>These are described in the manuscript.</w:t>
      </w:r>
      <w:r w:rsidR="00785727" w:rsidRPr="001823ED">
        <w:t xml:space="preserve"> Missing data were not imputed.</w:t>
      </w:r>
    </w:p>
    <w:p w14:paraId="775AACF9" w14:textId="77777777" w:rsidR="0058154B" w:rsidRPr="001823ED" w:rsidRDefault="0058154B" w:rsidP="009D21B5">
      <w:pPr>
        <w:widowControl w:val="0"/>
        <w:rPr>
          <w:i/>
        </w:rPr>
      </w:pPr>
    </w:p>
    <w:p w14:paraId="5EBA4C5F" w14:textId="43ADA333" w:rsidR="00840323" w:rsidRPr="001823ED" w:rsidRDefault="00406B51" w:rsidP="009D21B5">
      <w:pPr>
        <w:widowControl w:val="0"/>
        <w:rPr>
          <w:i/>
        </w:rPr>
      </w:pPr>
      <w:r w:rsidRPr="001823ED">
        <w:rPr>
          <w:i/>
        </w:rPr>
        <w:t>M</w:t>
      </w:r>
      <w:r w:rsidR="00840323" w:rsidRPr="001823ED">
        <w:rPr>
          <w:i/>
        </w:rPr>
        <w:t>ultiple comparisons</w:t>
      </w:r>
    </w:p>
    <w:p w14:paraId="027BA780" w14:textId="2E4ADA80" w:rsidR="00541192" w:rsidRPr="001823ED" w:rsidRDefault="00406B51" w:rsidP="009D21B5">
      <w:pPr>
        <w:widowControl w:val="0"/>
      </w:pPr>
      <w:r w:rsidRPr="00655286">
        <w:t xml:space="preserve">We </w:t>
      </w:r>
      <w:r w:rsidR="00541192" w:rsidRPr="00655286">
        <w:t>perform</w:t>
      </w:r>
      <w:r w:rsidRPr="00655286">
        <w:t xml:space="preserve">ed a large number of comparisons and this might generate some false-positive results. </w:t>
      </w:r>
      <w:r w:rsidR="00541192" w:rsidRPr="00655286">
        <w:t xml:space="preserve">However, </w:t>
      </w:r>
      <w:r w:rsidRPr="00655286">
        <w:t xml:space="preserve">the VMB composition variables overlapped considerably </w:t>
      </w:r>
      <w:r w:rsidR="00541192" w:rsidRPr="00655286">
        <w:t xml:space="preserve">(for example </w:t>
      </w:r>
      <w:r w:rsidRPr="00655286">
        <w:t xml:space="preserve">CSTs, </w:t>
      </w:r>
      <w:r w:rsidR="00541192" w:rsidRPr="00655286">
        <w:t>VMB type</w:t>
      </w:r>
      <w:r w:rsidRPr="00655286">
        <w:t xml:space="preserve">s, and </w:t>
      </w:r>
      <w:r w:rsidR="00541192" w:rsidRPr="00655286">
        <w:rPr>
          <w:i/>
          <w:iCs/>
        </w:rPr>
        <w:t>Lactobacillus</w:t>
      </w:r>
      <w:r w:rsidRPr="00655286">
        <w:t xml:space="preserve"> groups</w:t>
      </w:r>
      <w:r w:rsidR="00541192" w:rsidRPr="00655286">
        <w:t>). Therefore, finding</w:t>
      </w:r>
      <w:r w:rsidRPr="00655286">
        <w:t>s</w:t>
      </w:r>
      <w:r w:rsidR="00541192" w:rsidRPr="00655286">
        <w:t xml:space="preserve"> using one classification system wo</w:t>
      </w:r>
      <w:r w:rsidRPr="00655286">
        <w:t xml:space="preserve">uld be expected to correlate with findings using other but similar </w:t>
      </w:r>
      <w:r w:rsidR="00541192" w:rsidRPr="00655286">
        <w:t>classification system</w:t>
      </w:r>
      <w:r w:rsidRPr="00655286">
        <w:t>s</w:t>
      </w:r>
      <w:r w:rsidR="00541192" w:rsidRPr="00655286">
        <w:t xml:space="preserve">. </w:t>
      </w:r>
      <w:r w:rsidRPr="00655286">
        <w:t>We focused on such consistencies</w:t>
      </w:r>
      <w:r w:rsidR="00785727" w:rsidRPr="00655286">
        <w:t xml:space="preserve">, </w:t>
      </w:r>
      <w:r w:rsidRPr="00655286">
        <w:t xml:space="preserve">rather than individual </w:t>
      </w:r>
      <w:r w:rsidR="00785727" w:rsidRPr="00655286">
        <w:t xml:space="preserve">statistically significant </w:t>
      </w:r>
      <w:r w:rsidRPr="00655286">
        <w:t xml:space="preserve">findings, and </w:t>
      </w:r>
      <w:r w:rsidR="00785727" w:rsidRPr="00655286">
        <w:t xml:space="preserve">therefore decided </w:t>
      </w:r>
      <w:r w:rsidRPr="00655286">
        <w:t xml:space="preserve">not </w:t>
      </w:r>
      <w:r w:rsidR="00785727" w:rsidRPr="00655286">
        <w:t xml:space="preserve">to </w:t>
      </w:r>
      <w:r w:rsidRPr="00655286">
        <w:t>adjust for multiple comparisons.</w:t>
      </w:r>
    </w:p>
    <w:p w14:paraId="08AD3732" w14:textId="780B1A36" w:rsidR="006B5C2C" w:rsidRPr="001823ED" w:rsidRDefault="006B5C2C" w:rsidP="009D21B5">
      <w:pPr>
        <w:widowControl w:val="0"/>
      </w:pPr>
    </w:p>
    <w:p w14:paraId="5CF983AD" w14:textId="7C74B5D9" w:rsidR="006B5C2C" w:rsidRPr="001823ED" w:rsidRDefault="006B5C2C" w:rsidP="006B5C2C">
      <w:pPr>
        <w:pStyle w:val="Heading2"/>
      </w:pPr>
      <w:bookmarkStart w:id="22" w:name="_Toc69722995"/>
      <w:r w:rsidRPr="001823ED">
        <w:t>Crown initiative</w:t>
      </w:r>
      <w:bookmarkEnd w:id="22"/>
    </w:p>
    <w:p w14:paraId="18CA1BFF" w14:textId="10BA5EE6" w:rsidR="006B5C2C" w:rsidRPr="001823ED" w:rsidRDefault="006B5C2C" w:rsidP="006B5C2C">
      <w:pPr>
        <w:widowControl w:val="0"/>
      </w:pPr>
      <w:r w:rsidRPr="001823ED">
        <w:t>The CROWN initiative has defined a core outcome set for PTB research.</w:t>
      </w:r>
      <w:r w:rsidRPr="001823ED">
        <w:rPr>
          <w:vertAlign w:val="superscript"/>
        </w:rPr>
        <w:t>21</w:t>
      </w:r>
      <w:r w:rsidRPr="001823ED">
        <w:t xml:space="preserve"> We reported on PPROM, birthweight, and gestational age at birth. There were no cases of maternal mortality. The remainder of the core outcome set is not relevant to this study.  During the course of the research, the PREBIC consortium</w:t>
      </w:r>
      <w:r w:rsidRPr="001823ED">
        <w:rPr>
          <w:vertAlign w:val="superscript"/>
        </w:rPr>
        <w:t>22</w:t>
      </w:r>
      <w:r w:rsidRPr="001823ED">
        <w:t xml:space="preserve"> also made recommendations for a minimum dataset for research on the VMB in PTB.</w:t>
      </w:r>
      <w:r w:rsidRPr="001823ED">
        <w:rPr>
          <w:vertAlign w:val="superscript"/>
        </w:rPr>
        <w:t>23</w:t>
      </w:r>
      <w:r w:rsidRPr="001823ED">
        <w:t xml:space="preserve"> Despite the recommendations not having been formulated during data collection, we present 24/26 of the essential criteria and 11/18 of the desirable criteria (Table A</w:t>
      </w:r>
      <w:r w:rsidR="00E418FA">
        <w:t>6</w:t>
      </w:r>
      <w:r w:rsidRPr="001823ED">
        <w:t>).</w:t>
      </w:r>
    </w:p>
    <w:p w14:paraId="76FDEDF4" w14:textId="5456C2D2" w:rsidR="0034242F" w:rsidRDefault="0034242F" w:rsidP="009D21B5">
      <w:pPr>
        <w:widowControl w:val="0"/>
      </w:pPr>
    </w:p>
    <w:p w14:paraId="1F7CC816" w14:textId="02AD2FA5" w:rsidR="00A5441F" w:rsidRDefault="00A5441F" w:rsidP="00A5441F">
      <w:pPr>
        <w:pStyle w:val="Heading2"/>
      </w:pPr>
      <w:bookmarkStart w:id="23" w:name="_Toc69722996"/>
      <w:r>
        <w:t>Patient and public engagement</w:t>
      </w:r>
      <w:bookmarkEnd w:id="23"/>
    </w:p>
    <w:p w14:paraId="13AFEE22" w14:textId="58D76509" w:rsidR="003825B4" w:rsidRDefault="00761531">
      <w:pPr>
        <w:rPr>
          <w:i/>
          <w:iCs/>
        </w:rPr>
      </w:pPr>
      <w:r>
        <w:t xml:space="preserve">Patients who had previously received care at Liverpool Women’s Hospital </w:t>
      </w:r>
      <w:r w:rsidR="00D977BE">
        <w:t xml:space="preserve">preterm birth prevention clinic had contributed to the successful funding bid to establish the Harris-Wellbeing Preterm Birth Research Centre at Liverpool Women’s Hospital. A part of this funding was used for the </w:t>
      </w:r>
      <w:r w:rsidR="00D977BE" w:rsidRPr="001823ED">
        <w:t>“Development of novel biomarkers for prediction of preterm labour in a high-risk population” study</w:t>
      </w:r>
      <w:r w:rsidR="00CB26E9">
        <w:t xml:space="preserve">, of which the </w:t>
      </w:r>
      <w:r w:rsidR="00655286">
        <w:t xml:space="preserve">current project is a sub-study. After the successful funding bid, in 2015, </w:t>
      </w:r>
      <w:r w:rsidR="002749BA">
        <w:rPr>
          <w:iCs/>
        </w:rPr>
        <w:t>a formal</w:t>
      </w:r>
      <w:r w:rsidR="000A7CAD" w:rsidRPr="000A7CAD">
        <w:t xml:space="preserve"> Harris-Wellbeing Preterm Birth Research Centre Patient and Public Involvement</w:t>
      </w:r>
      <w:r w:rsidR="00196B19">
        <w:t xml:space="preserve"> (PPI)</w:t>
      </w:r>
      <w:r w:rsidR="000A7CAD" w:rsidRPr="000A7CAD">
        <w:t xml:space="preserve"> group was formed</w:t>
      </w:r>
      <w:r w:rsidR="000A7CAD">
        <w:t xml:space="preserve">. </w:t>
      </w:r>
      <w:r w:rsidR="002749BA">
        <w:t>The group consisted of highly motivated parents, the majority of whom had previously experienced a PTB. The</w:t>
      </w:r>
      <w:r w:rsidR="000A7CAD">
        <w:t xml:space="preserve"> </w:t>
      </w:r>
      <w:r w:rsidR="000A7CAD" w:rsidRPr="000A7CAD">
        <w:t>group</w:t>
      </w:r>
      <w:r w:rsidR="00CD1DC9">
        <w:t xml:space="preserve"> met approximately 3 times/year over the course o</w:t>
      </w:r>
      <w:r w:rsidR="008E1455">
        <w:t>f participant recruitment and</w:t>
      </w:r>
      <w:r w:rsidR="000A7CAD" w:rsidRPr="000A7CAD">
        <w:t xml:space="preserve"> helped guide the research team on the practicalities of recruitment. This</w:t>
      </w:r>
      <w:r w:rsidR="00E16AEE">
        <w:t xml:space="preserve"> included helping develop the participant information leaflet</w:t>
      </w:r>
      <w:r w:rsidR="00FE2458">
        <w:t xml:space="preserve">, </w:t>
      </w:r>
      <w:r w:rsidR="00491B40">
        <w:t xml:space="preserve">optimal language to use with regards to the </w:t>
      </w:r>
      <w:r w:rsidR="00F96093">
        <w:t>process of obtaining high vaginal swabs</w:t>
      </w:r>
      <w:r w:rsidR="00FE2458">
        <w:t xml:space="preserve"> and optimal ways to approach the low-risk participants.</w:t>
      </w:r>
      <w:r w:rsidR="00680FF2">
        <w:t xml:space="preserve"> </w:t>
      </w:r>
      <w:r w:rsidR="00F675A8">
        <w:t>This process was positive</w:t>
      </w:r>
      <w:r w:rsidR="00171F9E">
        <w:t>, the PPI group was of the opinion that the majority of eligible participants would be willing to participate, and</w:t>
      </w:r>
      <w:r w:rsidR="00C44AC4">
        <w:t xml:space="preserve"> indeed over 80% of high-risk women approached </w:t>
      </w:r>
      <w:r w:rsidR="003B0520">
        <w:t>did participate. Figures are not available for the perce</w:t>
      </w:r>
      <w:r w:rsidR="004D23A5">
        <w:t xml:space="preserve">ntage of low-risk women approached </w:t>
      </w:r>
      <w:r w:rsidR="00123EDD">
        <w:t xml:space="preserve">that participated </w:t>
      </w:r>
      <w:r w:rsidR="004D23A5">
        <w:t>due to the ability of the low-risk group to self-refer after viewing the study advertised on social media</w:t>
      </w:r>
      <w:r w:rsidR="00123EDD">
        <w:t xml:space="preserve"> or</w:t>
      </w:r>
      <w:r w:rsidR="004C7A34">
        <w:t xml:space="preserve"> via</w:t>
      </w:r>
      <w:r w:rsidR="00123EDD">
        <w:t xml:space="preserve"> leaflets distributed by community midwives</w:t>
      </w:r>
      <w:r w:rsidR="004D23A5">
        <w:t>.</w:t>
      </w:r>
      <w:r w:rsidR="00171F9E">
        <w:t xml:space="preserve"> </w:t>
      </w:r>
      <w:r w:rsidR="002749BA">
        <w:t xml:space="preserve"> The group has not been involved in data </w:t>
      </w:r>
      <w:proofErr w:type="gramStart"/>
      <w:r w:rsidR="002749BA">
        <w:t>analysis</w:t>
      </w:r>
      <w:proofErr w:type="gramEnd"/>
      <w:r w:rsidR="002749BA">
        <w:t xml:space="preserve"> but the study results were explained </w:t>
      </w:r>
      <w:r w:rsidR="00C9591E">
        <w:t>at a PPI meeting</w:t>
      </w:r>
      <w:r w:rsidR="002749BA">
        <w:t xml:space="preserve">. </w:t>
      </w:r>
      <w:r w:rsidR="00CF6DA3">
        <w:t>The hard</w:t>
      </w:r>
      <w:r w:rsidR="002749BA">
        <w:t xml:space="preserve">-work and dedication of the </w:t>
      </w:r>
      <w:r w:rsidR="00CF6DA3">
        <w:t xml:space="preserve">group was </w:t>
      </w:r>
      <w:r w:rsidR="00272EF3">
        <w:t>recognised when they were finalists in the University of Liverpool PPI group awards</w:t>
      </w:r>
      <w:r w:rsidR="00A07671">
        <w:t xml:space="preserve"> 2018</w:t>
      </w:r>
      <w:r w:rsidR="002749BA">
        <w:t>.</w:t>
      </w:r>
    </w:p>
    <w:p w14:paraId="685BD487" w14:textId="107AC269" w:rsidR="006B5C2C" w:rsidRDefault="006B5C2C">
      <w:r w:rsidRPr="001823ED">
        <w:br w:type="page"/>
      </w:r>
    </w:p>
    <w:p w14:paraId="3340E59D" w14:textId="77777777" w:rsidR="001A68D4" w:rsidRDefault="001A68D4" w:rsidP="001A68D4">
      <w:pPr>
        <w:pStyle w:val="Heading2"/>
      </w:pPr>
      <w:r>
        <w:lastRenderedPageBreak/>
        <w:t xml:space="preserve">Data availability </w:t>
      </w:r>
    </w:p>
    <w:p w14:paraId="693EEF97" w14:textId="1C5BED6D" w:rsidR="009D2FA6" w:rsidRDefault="001A68D4" w:rsidP="001A68D4">
      <w:r>
        <w:rPr>
          <w:bCs/>
          <w:szCs w:val="26"/>
          <w:lang w:eastAsia="en-US"/>
        </w:rPr>
        <w:t xml:space="preserve">Study data is available through the University of Liverpool Data Catalogue at </w:t>
      </w:r>
      <w:hyperlink r:id="rId9" w:tgtFrame="_blank" w:tooltip="http://dx.doi.org/10.17638/datacat.liverpool.ac.uk/1311" w:history="1">
        <w:r w:rsidRPr="001A68D4">
          <w:rPr>
            <w:rFonts w:ascii="Arial" w:hAnsi="Arial" w:cs="Arial"/>
            <w:b/>
            <w:bCs/>
            <w:color w:val="031F73"/>
            <w:sz w:val="20"/>
            <w:szCs w:val="20"/>
            <w:u w:val="single"/>
          </w:rPr>
          <w:t>10.176</w:t>
        </w:r>
        <w:r w:rsidRPr="001A68D4">
          <w:rPr>
            <w:rFonts w:ascii="Arial" w:hAnsi="Arial" w:cs="Arial"/>
            <w:b/>
            <w:bCs/>
            <w:color w:val="031F73"/>
            <w:sz w:val="20"/>
            <w:szCs w:val="20"/>
            <w:u w:val="single"/>
          </w:rPr>
          <w:t>3</w:t>
        </w:r>
        <w:r w:rsidRPr="001A68D4">
          <w:rPr>
            <w:rFonts w:ascii="Arial" w:hAnsi="Arial" w:cs="Arial"/>
            <w:b/>
            <w:bCs/>
            <w:color w:val="031F73"/>
            <w:sz w:val="20"/>
            <w:szCs w:val="20"/>
            <w:u w:val="single"/>
          </w:rPr>
          <w:t>8/datacat.liverpool.ac.uk/1311</w:t>
        </w:r>
      </w:hyperlink>
      <w:r>
        <w:t>. Data regarding ethnicity and gestational length at time of birth and PPROM was not deposited in accordance with G</w:t>
      </w:r>
      <w:r>
        <w:t>DPR regulations.</w:t>
      </w:r>
      <w:r>
        <w:rPr>
          <w:vertAlign w:val="superscript"/>
        </w:rPr>
        <w:t xml:space="preserve">10  </w:t>
      </w:r>
      <w:r>
        <w:t>If required</w:t>
      </w:r>
      <w:r w:rsidR="009D2FA6">
        <w:t xml:space="preserve"> it may be possible to share this data with </w:t>
      </w:r>
      <w:r w:rsidR="009D2FA6">
        <w:t>prospective data sharing agreements between</w:t>
      </w:r>
      <w:r w:rsidR="009D2FA6">
        <w:t xml:space="preserve"> </w:t>
      </w:r>
      <w:r w:rsidR="009D2FA6">
        <w:t>academic institutions</w:t>
      </w:r>
      <w:r w:rsidR="009D2FA6">
        <w:t xml:space="preserve">. </w:t>
      </w:r>
    </w:p>
    <w:p w14:paraId="5BB5776C" w14:textId="73D8E0ED" w:rsidR="001A68D4" w:rsidRPr="001A68D4" w:rsidRDefault="001A68D4" w:rsidP="001A68D4">
      <w:r>
        <w:t xml:space="preserve">Potential applicants are encouraged to </w:t>
      </w:r>
      <w:r w:rsidR="009D2FA6">
        <w:t>contact the authors.</w:t>
      </w:r>
    </w:p>
    <w:p w14:paraId="4F6F669E" w14:textId="152C6C6F" w:rsidR="001A68D4" w:rsidRDefault="001A68D4">
      <w:pPr>
        <w:rPr>
          <w:b/>
          <w:szCs w:val="26"/>
          <w:lang w:eastAsia="en-US"/>
        </w:rPr>
      </w:pPr>
    </w:p>
    <w:p w14:paraId="64488F7A" w14:textId="619161B0" w:rsidR="001A68D4" w:rsidRDefault="001A68D4">
      <w:pPr>
        <w:rPr>
          <w:b/>
          <w:szCs w:val="26"/>
          <w:lang w:eastAsia="en-US"/>
        </w:rPr>
      </w:pPr>
    </w:p>
    <w:p w14:paraId="215D907B" w14:textId="77777777" w:rsidR="001A68D4" w:rsidRPr="001823ED" w:rsidRDefault="001A68D4">
      <w:pPr>
        <w:rPr>
          <w:b/>
          <w:szCs w:val="26"/>
          <w:lang w:eastAsia="en-US"/>
        </w:rPr>
      </w:pPr>
    </w:p>
    <w:p w14:paraId="221CC283" w14:textId="585C4F52" w:rsidR="00411C71" w:rsidRPr="001823ED" w:rsidRDefault="00973FB5" w:rsidP="009D21B5">
      <w:pPr>
        <w:pStyle w:val="Heading2"/>
        <w:keepNext w:val="0"/>
        <w:keepLines w:val="0"/>
        <w:widowControl w:val="0"/>
      </w:pPr>
      <w:bookmarkStart w:id="24" w:name="_Toc69722997"/>
      <w:r w:rsidRPr="001823ED">
        <w:t>R</w:t>
      </w:r>
      <w:r w:rsidR="00411C71" w:rsidRPr="001823ED">
        <w:t>eferences</w:t>
      </w:r>
      <w:bookmarkEnd w:id="24"/>
    </w:p>
    <w:p w14:paraId="3B03C160" w14:textId="5D5E02C0" w:rsidR="005136FD" w:rsidRPr="005136FD" w:rsidRDefault="00541192" w:rsidP="005136FD">
      <w:pPr>
        <w:widowControl w:val="0"/>
        <w:autoSpaceDE w:val="0"/>
        <w:autoSpaceDN w:val="0"/>
        <w:adjustRightInd w:val="0"/>
        <w:ind w:left="640" w:hanging="640"/>
        <w:rPr>
          <w:rFonts w:ascii="Calibri" w:hAnsi="Calibri" w:cs="Calibri"/>
          <w:noProof/>
        </w:rPr>
      </w:pPr>
      <w:r w:rsidRPr="001823ED">
        <w:fldChar w:fldCharType="begin" w:fldLock="1"/>
      </w:r>
      <w:r w:rsidRPr="001823ED">
        <w:instrText xml:space="preserve">ADDIN Mendeley Bibliography CSL_BIBLIOGRAPHY </w:instrText>
      </w:r>
      <w:r w:rsidRPr="001823ED">
        <w:fldChar w:fldCharType="separate"/>
      </w:r>
      <w:r w:rsidR="005136FD" w:rsidRPr="005136FD">
        <w:rPr>
          <w:rFonts w:ascii="Calibri" w:hAnsi="Calibri" w:cs="Calibri"/>
          <w:noProof/>
        </w:rPr>
        <w:t xml:space="preserve">1. </w:t>
      </w:r>
      <w:r w:rsidR="005136FD" w:rsidRPr="005136FD">
        <w:rPr>
          <w:rFonts w:ascii="Calibri" w:hAnsi="Calibri" w:cs="Calibri"/>
          <w:noProof/>
        </w:rPr>
        <w:tab/>
        <w:t xml:space="preserve">National Institute for Health and Care Excellence. Antenatal care for uncomplicated pregnancies. </w:t>
      </w:r>
      <w:r w:rsidR="005136FD" w:rsidRPr="005136FD">
        <w:rPr>
          <w:rFonts w:ascii="Calibri" w:hAnsi="Calibri" w:cs="Calibri"/>
          <w:i/>
          <w:iCs/>
          <w:noProof/>
        </w:rPr>
        <w:t>Clin Guidel</w:t>
      </w:r>
      <w:r w:rsidR="005136FD" w:rsidRPr="005136FD">
        <w:rPr>
          <w:rFonts w:ascii="Calibri" w:hAnsi="Calibri" w:cs="Calibri"/>
          <w:noProof/>
        </w:rPr>
        <w:t>. 2008;(March):1-55. doi:10.1017/CBO9781107415324.004</w:t>
      </w:r>
    </w:p>
    <w:p w14:paraId="1A1E62B5"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 </w:t>
      </w:r>
      <w:r w:rsidRPr="005136FD">
        <w:rPr>
          <w:rFonts w:ascii="Calibri" w:hAnsi="Calibri" w:cs="Calibri"/>
          <w:noProof/>
        </w:rPr>
        <w:tab/>
        <w:t>Public Health England (PHE). HIV Testing in England: 2017 Report. 2018:57. https://assets.publishing.service.gov.uk/government/uploads/system/uploads/attachment_data/file/759270/HIV_testing_in_England_2017_report.pdf.</w:t>
      </w:r>
    </w:p>
    <w:p w14:paraId="1ABD83A3"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3. </w:t>
      </w:r>
      <w:r w:rsidRPr="0086354C">
        <w:rPr>
          <w:rFonts w:ascii="Calibri" w:hAnsi="Calibri" w:cs="Calibri"/>
          <w:noProof/>
          <w:lang w:val="nl-NL"/>
        </w:rPr>
        <w:tab/>
        <w:t xml:space="preserve">Pasolli E, Asnicar F, Manara S, et al. </w:t>
      </w:r>
      <w:r w:rsidRPr="005136FD">
        <w:rPr>
          <w:rFonts w:ascii="Calibri" w:hAnsi="Calibri" w:cs="Calibri"/>
          <w:noProof/>
        </w:rPr>
        <w:t xml:space="preserve">Extensive Unexplored Human Microbiome Diversity Revealed by Over 150,000 Genomes from Metagenomes Spanning Age, Geography, and Lifestyle. </w:t>
      </w:r>
      <w:r w:rsidRPr="005136FD">
        <w:rPr>
          <w:rFonts w:ascii="Calibri" w:hAnsi="Calibri" w:cs="Calibri"/>
          <w:i/>
          <w:iCs/>
          <w:noProof/>
        </w:rPr>
        <w:t>Cell</w:t>
      </w:r>
      <w:r w:rsidRPr="005136FD">
        <w:rPr>
          <w:rFonts w:ascii="Calibri" w:hAnsi="Calibri" w:cs="Calibri"/>
          <w:noProof/>
        </w:rPr>
        <w:t>. 2019;176(3):649-662.e20. doi:10.1016/j.cell.2019.01.001</w:t>
      </w:r>
    </w:p>
    <w:p w14:paraId="736FBB6F"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4. </w:t>
      </w:r>
      <w:r w:rsidRPr="005136FD">
        <w:rPr>
          <w:rFonts w:ascii="Calibri" w:hAnsi="Calibri" w:cs="Calibri"/>
          <w:noProof/>
        </w:rPr>
        <w:tab/>
        <w:t xml:space="preserve">Yatsunenko T, Rey FE, Manary MJ, et al. Human gut microbiome viewed across age and geography. </w:t>
      </w:r>
      <w:r w:rsidRPr="0086354C">
        <w:rPr>
          <w:rFonts w:ascii="Calibri" w:hAnsi="Calibri" w:cs="Calibri"/>
          <w:i/>
          <w:iCs/>
          <w:noProof/>
          <w:lang w:val="nl-NL"/>
        </w:rPr>
        <w:t>Nature</w:t>
      </w:r>
      <w:r w:rsidRPr="0086354C">
        <w:rPr>
          <w:rFonts w:ascii="Calibri" w:hAnsi="Calibri" w:cs="Calibri"/>
          <w:noProof/>
          <w:lang w:val="nl-NL"/>
        </w:rPr>
        <w:t>. 2012;486(7402):222-227. doi:10.1038/nature11053</w:t>
      </w:r>
    </w:p>
    <w:p w14:paraId="20768C82"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5. </w:t>
      </w:r>
      <w:r w:rsidRPr="0086354C">
        <w:rPr>
          <w:rFonts w:ascii="Calibri" w:hAnsi="Calibri" w:cs="Calibri"/>
          <w:noProof/>
          <w:lang w:val="nl-NL"/>
        </w:rPr>
        <w:tab/>
        <w:t xml:space="preserve">Borgdorff H, Van Der Veer C, Van Houdt R, et al. </w:t>
      </w:r>
      <w:r w:rsidRPr="005136FD">
        <w:rPr>
          <w:rFonts w:ascii="Calibri" w:hAnsi="Calibri" w:cs="Calibri"/>
          <w:noProof/>
        </w:rPr>
        <w:t xml:space="preserve">The association between ethnicity and vaginal microbiota composition in Amsterdam, the Netherlands. </w:t>
      </w:r>
      <w:r w:rsidRPr="005136FD">
        <w:rPr>
          <w:rFonts w:ascii="Calibri" w:hAnsi="Calibri" w:cs="Calibri"/>
          <w:i/>
          <w:iCs/>
          <w:noProof/>
        </w:rPr>
        <w:t>PLoS One</w:t>
      </w:r>
      <w:r w:rsidRPr="005136FD">
        <w:rPr>
          <w:rFonts w:ascii="Calibri" w:hAnsi="Calibri" w:cs="Calibri"/>
          <w:noProof/>
        </w:rPr>
        <w:t>. 2017;12(7). doi:10.1371/journal.pone.0181135</w:t>
      </w:r>
    </w:p>
    <w:p w14:paraId="7EF92260"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6. </w:t>
      </w:r>
      <w:r w:rsidRPr="005136FD">
        <w:rPr>
          <w:rFonts w:ascii="Calibri" w:hAnsi="Calibri" w:cs="Calibri"/>
          <w:noProof/>
        </w:rPr>
        <w:tab/>
        <w:t xml:space="preserve">Jefferson KK, Parikh HI, Garcia EM, et al. Relationship between vitamin D status and the vaginal microbiome during pregnancy. </w:t>
      </w:r>
      <w:r w:rsidRPr="005136FD">
        <w:rPr>
          <w:rFonts w:ascii="Calibri" w:hAnsi="Calibri" w:cs="Calibri"/>
          <w:i/>
          <w:iCs/>
          <w:noProof/>
        </w:rPr>
        <w:t>J Perinatol</w:t>
      </w:r>
      <w:r w:rsidRPr="005136FD">
        <w:rPr>
          <w:rFonts w:ascii="Calibri" w:hAnsi="Calibri" w:cs="Calibri"/>
          <w:noProof/>
        </w:rPr>
        <w:t>. 2019;39(6):824-836. doi:10.1038/s41372-019-0343-8</w:t>
      </w:r>
    </w:p>
    <w:p w14:paraId="36A8C432"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7. </w:t>
      </w:r>
      <w:r w:rsidRPr="005136FD">
        <w:rPr>
          <w:rFonts w:ascii="Calibri" w:hAnsi="Calibri" w:cs="Calibri"/>
          <w:noProof/>
        </w:rPr>
        <w:tab/>
        <w:t xml:space="preserve">Fettweis JM, Serrano MG, Brooks JP, et al. The vaginal microbiome and preterm birth. </w:t>
      </w:r>
      <w:r w:rsidRPr="0086354C">
        <w:rPr>
          <w:rFonts w:ascii="Calibri" w:hAnsi="Calibri" w:cs="Calibri"/>
          <w:i/>
          <w:iCs/>
          <w:noProof/>
          <w:lang w:val="nl-NL"/>
        </w:rPr>
        <w:t>Nat Med</w:t>
      </w:r>
      <w:r w:rsidRPr="0086354C">
        <w:rPr>
          <w:rFonts w:ascii="Calibri" w:hAnsi="Calibri" w:cs="Calibri"/>
          <w:noProof/>
          <w:lang w:val="nl-NL"/>
        </w:rPr>
        <w:t>. 2019;25(6):1012-1021. doi:10.1038/s41591-019-0450-2</w:t>
      </w:r>
    </w:p>
    <w:p w14:paraId="037B8DCE"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8. </w:t>
      </w:r>
      <w:r w:rsidRPr="0086354C">
        <w:rPr>
          <w:rFonts w:ascii="Calibri" w:hAnsi="Calibri" w:cs="Calibri"/>
          <w:noProof/>
          <w:lang w:val="nl-NL"/>
        </w:rPr>
        <w:tab/>
        <w:t xml:space="preserve">Peelen MJ, Luef BM, Lamont RF, et al. </w:t>
      </w:r>
      <w:r w:rsidRPr="005136FD">
        <w:rPr>
          <w:rFonts w:ascii="Calibri" w:hAnsi="Calibri" w:cs="Calibri"/>
          <w:noProof/>
        </w:rPr>
        <w:t xml:space="preserve">The influence of the vaginal microbiota on preterm birth: A systematic review and recommendations for a minimum dataset for future research. </w:t>
      </w:r>
      <w:r w:rsidRPr="005136FD">
        <w:rPr>
          <w:rFonts w:ascii="Calibri" w:hAnsi="Calibri" w:cs="Calibri"/>
          <w:i/>
          <w:iCs/>
          <w:noProof/>
        </w:rPr>
        <w:t>Placenta</w:t>
      </w:r>
      <w:r w:rsidRPr="005136FD">
        <w:rPr>
          <w:rFonts w:ascii="Calibri" w:hAnsi="Calibri" w:cs="Calibri"/>
          <w:noProof/>
        </w:rPr>
        <w:t>. 2019;79(December 2018):30-39. doi:10.1016/j.placenta.2019.03.011</w:t>
      </w:r>
    </w:p>
    <w:p w14:paraId="35FBD0EF"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9. </w:t>
      </w:r>
      <w:r w:rsidRPr="005136FD">
        <w:rPr>
          <w:rFonts w:ascii="Calibri" w:hAnsi="Calibri" w:cs="Calibri"/>
          <w:noProof/>
        </w:rPr>
        <w:tab/>
        <w:t>Liverpool Women’s NHS Foundation Trust. Liverpool Women’s Hosital. https://www.liverpoolwomens.nhs.uk/our-services/maternity/. Accessed August 29, 2020.</w:t>
      </w:r>
    </w:p>
    <w:p w14:paraId="188B240A"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10. </w:t>
      </w:r>
      <w:r w:rsidRPr="005136FD">
        <w:rPr>
          <w:rFonts w:ascii="Calibri" w:hAnsi="Calibri" w:cs="Calibri"/>
          <w:noProof/>
        </w:rPr>
        <w:tab/>
        <w:t>UK Government. UK General Data Protection Regulation. https://www.gov.uk/government/publications/guide-to-the-general-data-protection-regulation. Published 2018. Accessed June 17, 2020.</w:t>
      </w:r>
    </w:p>
    <w:p w14:paraId="2CF2447D"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11. </w:t>
      </w:r>
      <w:r w:rsidRPr="005136FD">
        <w:rPr>
          <w:rFonts w:ascii="Calibri" w:hAnsi="Calibri" w:cs="Calibri"/>
          <w:noProof/>
        </w:rPr>
        <w:tab/>
        <w:t xml:space="preserve">Fadrosh DW, Ma B, Gajer P, et al. An improved dual-indexing approach for multiplexed 16S rRNA gene sequencing on the Illumina MiSeq platform. </w:t>
      </w:r>
      <w:r w:rsidRPr="0086354C">
        <w:rPr>
          <w:rFonts w:ascii="Calibri" w:hAnsi="Calibri" w:cs="Calibri"/>
          <w:i/>
          <w:iCs/>
          <w:noProof/>
          <w:lang w:val="nl-NL"/>
        </w:rPr>
        <w:t>Microbiome</w:t>
      </w:r>
      <w:r w:rsidRPr="0086354C">
        <w:rPr>
          <w:rFonts w:ascii="Calibri" w:hAnsi="Calibri" w:cs="Calibri"/>
          <w:noProof/>
          <w:lang w:val="nl-NL"/>
        </w:rPr>
        <w:t>. 2014;2(1):6. doi:10.1186/2049-2618-2-6</w:t>
      </w:r>
    </w:p>
    <w:p w14:paraId="653A335E"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12. </w:t>
      </w:r>
      <w:r w:rsidRPr="0086354C">
        <w:rPr>
          <w:rFonts w:ascii="Calibri" w:hAnsi="Calibri" w:cs="Calibri"/>
          <w:noProof/>
          <w:lang w:val="nl-NL"/>
        </w:rPr>
        <w:tab/>
        <w:t xml:space="preserve">Goldenberg RL, Gravett MG, Conde-Agudelo A, et al. </w:t>
      </w:r>
      <w:r w:rsidRPr="005136FD">
        <w:rPr>
          <w:rFonts w:ascii="Calibri" w:hAnsi="Calibri" w:cs="Calibri"/>
          <w:noProof/>
        </w:rPr>
        <w:t xml:space="preserve">The preterm birth syndrome: issues to consider in creating a classification system. </w:t>
      </w:r>
      <w:r w:rsidRPr="005136FD">
        <w:rPr>
          <w:rFonts w:ascii="Calibri" w:hAnsi="Calibri" w:cs="Calibri"/>
          <w:i/>
          <w:iCs/>
          <w:noProof/>
        </w:rPr>
        <w:t>Am J Obstet Gynecol</w:t>
      </w:r>
      <w:r w:rsidRPr="005136FD">
        <w:rPr>
          <w:rFonts w:ascii="Calibri" w:hAnsi="Calibri" w:cs="Calibri"/>
          <w:noProof/>
        </w:rPr>
        <w:t>. 2011;206(2):113-118. doi:10.1016/j.ajog.2011.10.865</w:t>
      </w:r>
    </w:p>
    <w:p w14:paraId="04D193B0"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13. </w:t>
      </w:r>
      <w:r w:rsidRPr="005136FD">
        <w:rPr>
          <w:rFonts w:ascii="Calibri" w:hAnsi="Calibri" w:cs="Calibri"/>
          <w:noProof/>
        </w:rPr>
        <w:tab/>
        <w:t xml:space="preserve">MacKay DF, Smith GCS, Dobbie R, Pell JP. Gestational age at delivery and special educational need: retrospective cohort study of 407,503 schoolchildren. </w:t>
      </w:r>
      <w:r w:rsidRPr="0086354C">
        <w:rPr>
          <w:rFonts w:ascii="Calibri" w:hAnsi="Calibri" w:cs="Calibri"/>
          <w:i/>
          <w:iCs/>
          <w:noProof/>
          <w:lang w:val="nl-NL"/>
        </w:rPr>
        <w:t>PLoS Med</w:t>
      </w:r>
      <w:r w:rsidRPr="0086354C">
        <w:rPr>
          <w:rFonts w:ascii="Calibri" w:hAnsi="Calibri" w:cs="Calibri"/>
          <w:noProof/>
          <w:lang w:val="nl-NL"/>
        </w:rPr>
        <w:t>. 2010;7(6):e1000289. doi:10.1371/journal.pmed.1000289</w:t>
      </w:r>
    </w:p>
    <w:p w14:paraId="771B880C"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14. </w:t>
      </w:r>
      <w:r w:rsidRPr="0086354C">
        <w:rPr>
          <w:rFonts w:ascii="Calibri" w:hAnsi="Calibri" w:cs="Calibri"/>
          <w:noProof/>
          <w:lang w:val="nl-NL"/>
        </w:rPr>
        <w:tab/>
        <w:t xml:space="preserve">Zhang X, Kramer MS. </w:t>
      </w:r>
      <w:r w:rsidRPr="005136FD">
        <w:rPr>
          <w:rFonts w:ascii="Calibri" w:hAnsi="Calibri" w:cs="Calibri"/>
          <w:noProof/>
        </w:rPr>
        <w:t xml:space="preserve">Variations in Mortality and Morbidity by Gestational Age among Infants Born at Term. </w:t>
      </w:r>
      <w:r w:rsidRPr="005136FD">
        <w:rPr>
          <w:rFonts w:ascii="Calibri" w:hAnsi="Calibri" w:cs="Calibri"/>
          <w:i/>
          <w:iCs/>
          <w:noProof/>
        </w:rPr>
        <w:t>J Pediatr</w:t>
      </w:r>
      <w:r w:rsidRPr="005136FD">
        <w:rPr>
          <w:rFonts w:ascii="Calibri" w:hAnsi="Calibri" w:cs="Calibri"/>
          <w:noProof/>
        </w:rPr>
        <w:t>. 2009;154(3). doi:10.1016/j.jpeds.2008.09.013</w:t>
      </w:r>
    </w:p>
    <w:p w14:paraId="763F2EA4"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15. </w:t>
      </w:r>
      <w:r w:rsidRPr="005136FD">
        <w:rPr>
          <w:rFonts w:ascii="Calibri" w:hAnsi="Calibri" w:cs="Calibri"/>
          <w:noProof/>
        </w:rPr>
        <w:tab/>
        <w:t xml:space="preserve">Bastek JA, Sammel MD, Paré E, Srinivas SK, Posencheg MA, Elovitz MA. Adverse neonatal outcomes: examining the risks between preterm, late preterm, and term infants. </w:t>
      </w:r>
      <w:r w:rsidRPr="005136FD">
        <w:rPr>
          <w:rFonts w:ascii="Calibri" w:hAnsi="Calibri" w:cs="Calibri"/>
          <w:i/>
          <w:iCs/>
          <w:noProof/>
        </w:rPr>
        <w:t>Am J Obstet Gynecol</w:t>
      </w:r>
      <w:r w:rsidRPr="005136FD">
        <w:rPr>
          <w:rFonts w:ascii="Calibri" w:hAnsi="Calibri" w:cs="Calibri"/>
          <w:noProof/>
        </w:rPr>
        <w:t>. 2008;199(4):367.e1-367.e8. doi:10.1016/j.ajog.2008.08.002</w:t>
      </w:r>
    </w:p>
    <w:p w14:paraId="70ED3433"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16. </w:t>
      </w:r>
      <w:r w:rsidRPr="005136FD">
        <w:rPr>
          <w:rFonts w:ascii="Calibri" w:hAnsi="Calibri" w:cs="Calibri"/>
          <w:noProof/>
        </w:rPr>
        <w:tab/>
        <w:t xml:space="preserve">Tita ATN, Landon MB, Spong CY, et al. Timing of Elective Repeat Cesarean Delivery at Term and Neonatal Outcomes. </w:t>
      </w:r>
      <w:r w:rsidRPr="005136FD">
        <w:rPr>
          <w:rFonts w:ascii="Calibri" w:hAnsi="Calibri" w:cs="Calibri"/>
          <w:i/>
          <w:iCs/>
          <w:noProof/>
        </w:rPr>
        <w:t>N Engl J Med</w:t>
      </w:r>
      <w:r w:rsidRPr="005136FD">
        <w:rPr>
          <w:rFonts w:ascii="Calibri" w:hAnsi="Calibri" w:cs="Calibri"/>
          <w:noProof/>
        </w:rPr>
        <w:t>. 2009;360(2):111-120. doi:10.1056/NEJMoa0803267</w:t>
      </w:r>
    </w:p>
    <w:p w14:paraId="56F874A6"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lastRenderedPageBreak/>
        <w:t xml:space="preserve">17. </w:t>
      </w:r>
      <w:r w:rsidRPr="005136FD">
        <w:rPr>
          <w:rFonts w:ascii="Calibri" w:hAnsi="Calibri" w:cs="Calibri"/>
          <w:noProof/>
        </w:rPr>
        <w:tab/>
        <w:t xml:space="preserve">Romero R, Hassan SS, Gajer P, et al. The composition and stability of the vaginal microbiota of normal pregnant women is different from that of non-pregnant women. </w:t>
      </w:r>
      <w:r w:rsidRPr="005136FD">
        <w:rPr>
          <w:rFonts w:ascii="Calibri" w:hAnsi="Calibri" w:cs="Calibri"/>
          <w:i/>
          <w:iCs/>
          <w:noProof/>
        </w:rPr>
        <w:t>Microbiome</w:t>
      </w:r>
      <w:r w:rsidRPr="005136FD">
        <w:rPr>
          <w:rFonts w:ascii="Calibri" w:hAnsi="Calibri" w:cs="Calibri"/>
          <w:noProof/>
        </w:rPr>
        <w:t>. 2014;2(1):1-19. doi:10.1186/2049-2618-2-4</w:t>
      </w:r>
    </w:p>
    <w:p w14:paraId="149FE258"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18. </w:t>
      </w:r>
      <w:r w:rsidRPr="005136FD">
        <w:rPr>
          <w:rFonts w:ascii="Calibri" w:hAnsi="Calibri" w:cs="Calibri"/>
          <w:noProof/>
        </w:rPr>
        <w:tab/>
        <w:t xml:space="preserve">Freitas AC, Bocking A, Hill JE, Money DM. Increased richness and diversity of the vaginal microbiota and spontaneous preterm birth. </w:t>
      </w:r>
      <w:r w:rsidRPr="0086354C">
        <w:rPr>
          <w:rFonts w:ascii="Calibri" w:hAnsi="Calibri" w:cs="Calibri"/>
          <w:i/>
          <w:iCs/>
          <w:noProof/>
          <w:lang w:val="nl-NL"/>
        </w:rPr>
        <w:t>Microbiome</w:t>
      </w:r>
      <w:r w:rsidRPr="0086354C">
        <w:rPr>
          <w:rFonts w:ascii="Calibri" w:hAnsi="Calibri" w:cs="Calibri"/>
          <w:noProof/>
          <w:lang w:val="nl-NL"/>
        </w:rPr>
        <w:t>. 2018;6(1):1-15. doi:10.1186/s40168-018-0502-8</w:t>
      </w:r>
    </w:p>
    <w:p w14:paraId="54BAFBDF"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19. </w:t>
      </w:r>
      <w:r w:rsidRPr="0086354C">
        <w:rPr>
          <w:rFonts w:ascii="Calibri" w:hAnsi="Calibri" w:cs="Calibri"/>
          <w:noProof/>
          <w:lang w:val="nl-NL"/>
        </w:rPr>
        <w:tab/>
        <w:t xml:space="preserve">Elovitz MA, Gajer P, Riis V, et al. </w:t>
      </w:r>
      <w:r w:rsidRPr="005136FD">
        <w:rPr>
          <w:rFonts w:ascii="Calibri" w:hAnsi="Calibri" w:cs="Calibri"/>
          <w:noProof/>
        </w:rPr>
        <w:t xml:space="preserve">Cervicovaginal microbiota and local immune response modulate the risk of spontaneous preterm delivery. </w:t>
      </w:r>
      <w:r w:rsidRPr="005136FD">
        <w:rPr>
          <w:rFonts w:ascii="Calibri" w:hAnsi="Calibri" w:cs="Calibri"/>
          <w:i/>
          <w:iCs/>
          <w:noProof/>
        </w:rPr>
        <w:t>Nat Commun</w:t>
      </w:r>
      <w:r w:rsidRPr="005136FD">
        <w:rPr>
          <w:rFonts w:ascii="Calibri" w:hAnsi="Calibri" w:cs="Calibri"/>
          <w:noProof/>
        </w:rPr>
        <w:t>. 2019;10(1):1-8. doi:10.1038/s41467-019-09285-9</w:t>
      </w:r>
    </w:p>
    <w:p w14:paraId="245D72CE"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20. </w:t>
      </w:r>
      <w:r w:rsidRPr="005136FD">
        <w:rPr>
          <w:rFonts w:ascii="Calibri" w:hAnsi="Calibri" w:cs="Calibri"/>
          <w:noProof/>
        </w:rPr>
        <w:tab/>
        <w:t xml:space="preserve">Warnes G, Bolker B, Bonebakker L, et al. gplots: Various R Programming Tools for Plotting Data. </w:t>
      </w:r>
      <w:r w:rsidRPr="0086354C">
        <w:rPr>
          <w:rFonts w:ascii="Calibri" w:hAnsi="Calibri" w:cs="Calibri"/>
          <w:noProof/>
          <w:lang w:val="nl-NL"/>
        </w:rPr>
        <w:t>In: ; 2015.</w:t>
      </w:r>
    </w:p>
    <w:p w14:paraId="300A05AE"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86354C">
        <w:rPr>
          <w:rFonts w:ascii="Calibri" w:hAnsi="Calibri" w:cs="Calibri"/>
          <w:noProof/>
          <w:lang w:val="nl-NL"/>
        </w:rPr>
        <w:t xml:space="preserve">21. </w:t>
      </w:r>
      <w:r w:rsidRPr="0086354C">
        <w:rPr>
          <w:rFonts w:ascii="Calibri" w:hAnsi="Calibri" w:cs="Calibri"/>
          <w:noProof/>
          <w:lang w:val="nl-NL"/>
        </w:rPr>
        <w:tab/>
        <w:t>Meta-Chart. Venn Diagram Maker Online.</w:t>
      </w:r>
    </w:p>
    <w:p w14:paraId="0B88AA92"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86354C">
        <w:rPr>
          <w:rFonts w:ascii="Calibri" w:hAnsi="Calibri" w:cs="Calibri"/>
          <w:noProof/>
          <w:lang w:val="nl-NL"/>
        </w:rPr>
        <w:t xml:space="preserve">22. </w:t>
      </w:r>
      <w:r w:rsidRPr="0086354C">
        <w:rPr>
          <w:rFonts w:ascii="Calibri" w:hAnsi="Calibri" w:cs="Calibri"/>
          <w:noProof/>
          <w:lang w:val="nl-NL"/>
        </w:rPr>
        <w:tab/>
        <w:t xml:space="preserve">Romero R, Hassan SS, Gajer P, et al. </w:t>
      </w:r>
      <w:r w:rsidRPr="005136FD">
        <w:rPr>
          <w:rFonts w:ascii="Calibri" w:hAnsi="Calibri" w:cs="Calibri"/>
          <w:noProof/>
        </w:rPr>
        <w:t xml:space="preserve">The vaginal microbiota of pregnant women who subsequently have spontaneous preterm labor and delivery and those with a normal delivery at term. </w:t>
      </w:r>
      <w:r w:rsidRPr="0086354C">
        <w:rPr>
          <w:rFonts w:ascii="Calibri" w:hAnsi="Calibri" w:cs="Calibri"/>
          <w:i/>
          <w:iCs/>
          <w:noProof/>
          <w:lang w:val="nl-NL"/>
        </w:rPr>
        <w:t>Microbiome</w:t>
      </w:r>
      <w:r w:rsidRPr="0086354C">
        <w:rPr>
          <w:rFonts w:ascii="Calibri" w:hAnsi="Calibri" w:cs="Calibri"/>
          <w:noProof/>
          <w:lang w:val="nl-NL"/>
        </w:rPr>
        <w:t>. 2014;2(1):18. doi:10.1186/2049-2618-2-18</w:t>
      </w:r>
    </w:p>
    <w:p w14:paraId="15046C06"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23. </w:t>
      </w:r>
      <w:r w:rsidRPr="0086354C">
        <w:rPr>
          <w:rFonts w:ascii="Calibri" w:hAnsi="Calibri" w:cs="Calibri"/>
          <w:noProof/>
          <w:lang w:val="nl-NL"/>
        </w:rPr>
        <w:tab/>
        <w:t xml:space="preserve">DiGiulio DB, Callahan BJ, McMurdie PJ, et al. </w:t>
      </w:r>
      <w:r w:rsidRPr="005136FD">
        <w:rPr>
          <w:rFonts w:ascii="Calibri" w:hAnsi="Calibri" w:cs="Calibri"/>
          <w:noProof/>
        </w:rPr>
        <w:t xml:space="preserve">Temporal and spatial variation of the human microbiota during pregnancy. </w:t>
      </w:r>
      <w:r w:rsidRPr="005136FD">
        <w:rPr>
          <w:rFonts w:ascii="Calibri" w:hAnsi="Calibri" w:cs="Calibri"/>
          <w:i/>
          <w:iCs/>
          <w:noProof/>
        </w:rPr>
        <w:t>Proc Natl Acad Sci U S A</w:t>
      </w:r>
      <w:r w:rsidRPr="005136FD">
        <w:rPr>
          <w:rFonts w:ascii="Calibri" w:hAnsi="Calibri" w:cs="Calibri"/>
          <w:noProof/>
        </w:rPr>
        <w:t>. 2015;112(35):11060-11065. doi:10.1073/pnas.1502875112</w:t>
      </w:r>
    </w:p>
    <w:p w14:paraId="65B0D282"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24. </w:t>
      </w:r>
      <w:r w:rsidRPr="005136FD">
        <w:rPr>
          <w:rFonts w:ascii="Calibri" w:hAnsi="Calibri" w:cs="Calibri"/>
          <w:noProof/>
        </w:rPr>
        <w:tab/>
        <w:t xml:space="preserve">Subramaniam A, Kumar R, Cliver SP, et al. Vaginal Microbiota in Pregnancy: Evaluation Based on Vaginal Flora, Birth Outcome, and Race. </w:t>
      </w:r>
      <w:r w:rsidRPr="005136FD">
        <w:rPr>
          <w:rFonts w:ascii="Calibri" w:hAnsi="Calibri" w:cs="Calibri"/>
          <w:i/>
          <w:iCs/>
          <w:noProof/>
        </w:rPr>
        <w:t>Am J Perinatol</w:t>
      </w:r>
      <w:r w:rsidRPr="005136FD">
        <w:rPr>
          <w:rFonts w:ascii="Calibri" w:hAnsi="Calibri" w:cs="Calibri"/>
          <w:noProof/>
        </w:rPr>
        <w:t>. 2016;33(4). doi:10.1055/s-0035-1565919</w:t>
      </w:r>
    </w:p>
    <w:p w14:paraId="4B88A522"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25. </w:t>
      </w:r>
      <w:r w:rsidRPr="005136FD">
        <w:rPr>
          <w:rFonts w:ascii="Calibri" w:hAnsi="Calibri" w:cs="Calibri"/>
          <w:noProof/>
        </w:rPr>
        <w:tab/>
        <w:t xml:space="preserve">Nelson DB, Shin H, Wu J, Dominguez-Bello MG. .The Gestational Vaginal Microbiome and Spontaneous Preterm Birth among Nulliparous African American Women. </w:t>
      </w:r>
      <w:r w:rsidRPr="005136FD">
        <w:rPr>
          <w:rFonts w:ascii="Calibri" w:hAnsi="Calibri" w:cs="Calibri"/>
          <w:i/>
          <w:iCs/>
          <w:noProof/>
        </w:rPr>
        <w:t>Am J Perinatol</w:t>
      </w:r>
      <w:r w:rsidRPr="005136FD">
        <w:rPr>
          <w:rFonts w:ascii="Calibri" w:hAnsi="Calibri" w:cs="Calibri"/>
          <w:noProof/>
        </w:rPr>
        <w:t>. 2016;33(9):887-893. doi:10.1055/s-0036-1581057</w:t>
      </w:r>
    </w:p>
    <w:p w14:paraId="5433F65F"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26. </w:t>
      </w:r>
      <w:r w:rsidRPr="005136FD">
        <w:rPr>
          <w:rFonts w:ascii="Calibri" w:hAnsi="Calibri" w:cs="Calibri"/>
          <w:noProof/>
        </w:rPr>
        <w:tab/>
        <w:t xml:space="preserve">Kindinger LM, Bennett PR, Lee YS, et al. The interaction between vaginal microbiota, cervical length, and vaginal progesterone treatment for preterm birth risk. </w:t>
      </w:r>
      <w:r w:rsidRPr="005136FD">
        <w:rPr>
          <w:rFonts w:ascii="Calibri" w:hAnsi="Calibri" w:cs="Calibri"/>
          <w:i/>
          <w:iCs/>
          <w:noProof/>
        </w:rPr>
        <w:t>Microbiome</w:t>
      </w:r>
      <w:r w:rsidRPr="005136FD">
        <w:rPr>
          <w:rFonts w:ascii="Calibri" w:hAnsi="Calibri" w:cs="Calibri"/>
          <w:noProof/>
        </w:rPr>
        <w:t>. 2017;5(1):1-14. doi:10.1186/s40168-016-0223-9</w:t>
      </w:r>
    </w:p>
    <w:p w14:paraId="687F7F5D"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27. </w:t>
      </w:r>
      <w:r w:rsidRPr="005136FD">
        <w:rPr>
          <w:rFonts w:ascii="Calibri" w:hAnsi="Calibri" w:cs="Calibri"/>
          <w:noProof/>
        </w:rPr>
        <w:tab/>
        <w:t xml:space="preserve">Callahan BJ, DiGiulio DB, Goltsman DSA, et al. Replication and refinement of a vaginal microbial signature of preterm birth in two racially distinct cohorts of US women. </w:t>
      </w:r>
      <w:r w:rsidRPr="005136FD">
        <w:rPr>
          <w:rFonts w:ascii="Calibri" w:hAnsi="Calibri" w:cs="Calibri"/>
          <w:i/>
          <w:iCs/>
          <w:noProof/>
        </w:rPr>
        <w:t>Proc Natl Acad Sci U S A</w:t>
      </w:r>
      <w:r w:rsidRPr="005136FD">
        <w:rPr>
          <w:rFonts w:ascii="Calibri" w:hAnsi="Calibri" w:cs="Calibri"/>
          <w:noProof/>
        </w:rPr>
        <w:t>. 2017;114(37):9966-9971. doi:10.1073/pnas.1705899114</w:t>
      </w:r>
    </w:p>
    <w:p w14:paraId="7E45FF5A"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28. </w:t>
      </w:r>
      <w:r w:rsidRPr="005136FD">
        <w:rPr>
          <w:rFonts w:ascii="Calibri" w:hAnsi="Calibri" w:cs="Calibri"/>
          <w:noProof/>
        </w:rPr>
        <w:tab/>
        <w:t xml:space="preserve">Stout MJ, Zhou Y, Wylie KM, Tarr PI, Macones GA, Tuuli MG. Early pregnancy vaginal microbiome trends and preterm birth. </w:t>
      </w:r>
      <w:r w:rsidRPr="005136FD">
        <w:rPr>
          <w:rFonts w:ascii="Calibri" w:hAnsi="Calibri" w:cs="Calibri"/>
          <w:i/>
          <w:iCs/>
          <w:noProof/>
        </w:rPr>
        <w:t>Am J Obstet Gynecol</w:t>
      </w:r>
      <w:r w:rsidRPr="005136FD">
        <w:rPr>
          <w:rFonts w:ascii="Calibri" w:hAnsi="Calibri" w:cs="Calibri"/>
          <w:noProof/>
        </w:rPr>
        <w:t>. 2017;217(3). doi:10.1016/j.ajog.2017.05.030</w:t>
      </w:r>
    </w:p>
    <w:p w14:paraId="5E622777"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29. </w:t>
      </w:r>
      <w:r w:rsidRPr="005136FD">
        <w:rPr>
          <w:rFonts w:ascii="Calibri" w:hAnsi="Calibri" w:cs="Calibri"/>
          <w:noProof/>
        </w:rPr>
        <w:tab/>
        <w:t xml:space="preserve">Tabatabaei N, Eren A, Barreiro L, et al. Vaginal microbiome in early pregnancy and subsequent risk of spontaneous preterm birth: a case-control study. </w:t>
      </w:r>
      <w:r w:rsidRPr="005136FD">
        <w:rPr>
          <w:rFonts w:ascii="Calibri" w:hAnsi="Calibri" w:cs="Calibri"/>
          <w:i/>
          <w:iCs/>
          <w:noProof/>
        </w:rPr>
        <w:t>BJOG An Int J Obstet Gynaecol</w:t>
      </w:r>
      <w:r w:rsidRPr="005136FD">
        <w:rPr>
          <w:rFonts w:ascii="Calibri" w:hAnsi="Calibri" w:cs="Calibri"/>
          <w:noProof/>
        </w:rPr>
        <w:t>. 2018:8-11. doi:10.1111/1471-0528.15299</w:t>
      </w:r>
    </w:p>
    <w:p w14:paraId="7690DF29"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30. </w:t>
      </w:r>
      <w:r w:rsidRPr="005136FD">
        <w:rPr>
          <w:rFonts w:ascii="Calibri" w:hAnsi="Calibri" w:cs="Calibri"/>
          <w:noProof/>
        </w:rPr>
        <w:tab/>
        <w:t xml:space="preserve">Brown RG, Al-Memar M, Marchesi JR, et al. Establishment of vaginal microbiota composition in early pregnancy and its association with subsequent preterm prelabor rupture of the fetal membranes. </w:t>
      </w:r>
      <w:r w:rsidRPr="005136FD">
        <w:rPr>
          <w:rFonts w:ascii="Calibri" w:hAnsi="Calibri" w:cs="Calibri"/>
          <w:i/>
          <w:iCs/>
          <w:noProof/>
        </w:rPr>
        <w:t>Transl Res</w:t>
      </w:r>
      <w:r w:rsidRPr="005136FD">
        <w:rPr>
          <w:rFonts w:ascii="Calibri" w:hAnsi="Calibri" w:cs="Calibri"/>
          <w:noProof/>
        </w:rPr>
        <w:t>. 2019:1-14. doi:10.1016/j.trsl.2018.12.005</w:t>
      </w:r>
    </w:p>
    <w:p w14:paraId="2ECE2D6B"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31. </w:t>
      </w:r>
      <w:r w:rsidRPr="005136FD">
        <w:rPr>
          <w:rFonts w:ascii="Calibri" w:hAnsi="Calibri" w:cs="Calibri"/>
          <w:noProof/>
        </w:rPr>
        <w:tab/>
        <w:t xml:space="preserve">Blostein F, Gelaye B, Sanchez SE, Williams MA, Foxman B. Vaginal microbiome diversity and preterm birth: results of a nested case–control study in Peru. </w:t>
      </w:r>
      <w:r w:rsidRPr="005136FD">
        <w:rPr>
          <w:rFonts w:ascii="Calibri" w:hAnsi="Calibri" w:cs="Calibri"/>
          <w:i/>
          <w:iCs/>
          <w:noProof/>
        </w:rPr>
        <w:t>Ann Epidemiol</w:t>
      </w:r>
      <w:r w:rsidRPr="005136FD">
        <w:rPr>
          <w:rFonts w:ascii="Calibri" w:hAnsi="Calibri" w:cs="Calibri"/>
          <w:noProof/>
        </w:rPr>
        <w:t>. 2020;41:28-34. doi:10.1016/j.annepidem.2019.11.004</w:t>
      </w:r>
    </w:p>
    <w:p w14:paraId="36B12FB9"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32. </w:t>
      </w:r>
      <w:r w:rsidRPr="005136FD">
        <w:rPr>
          <w:rFonts w:ascii="Calibri" w:hAnsi="Calibri" w:cs="Calibri"/>
          <w:noProof/>
        </w:rPr>
        <w:tab/>
        <w:t xml:space="preserve">Chang DH, Shin J, Rhee MS, et al. Vaginal microbiota profiles of native Korean women and associations with high-risk pregnancy. </w:t>
      </w:r>
      <w:r w:rsidRPr="005136FD">
        <w:rPr>
          <w:rFonts w:ascii="Calibri" w:hAnsi="Calibri" w:cs="Calibri"/>
          <w:i/>
          <w:iCs/>
          <w:noProof/>
        </w:rPr>
        <w:t>J Microbiol Biotechnol</w:t>
      </w:r>
      <w:r w:rsidRPr="005136FD">
        <w:rPr>
          <w:rFonts w:ascii="Calibri" w:hAnsi="Calibri" w:cs="Calibri"/>
          <w:noProof/>
        </w:rPr>
        <w:t>. 2020;30(2):248-258. doi:10.4014/jmb.1908.08016</w:t>
      </w:r>
    </w:p>
    <w:p w14:paraId="46809B7B" w14:textId="77777777" w:rsidR="005136FD" w:rsidRPr="0086354C" w:rsidRDefault="005136FD" w:rsidP="005136FD">
      <w:pPr>
        <w:widowControl w:val="0"/>
        <w:autoSpaceDE w:val="0"/>
        <w:autoSpaceDN w:val="0"/>
        <w:adjustRightInd w:val="0"/>
        <w:ind w:left="640" w:hanging="640"/>
        <w:rPr>
          <w:rFonts w:ascii="Calibri" w:hAnsi="Calibri" w:cs="Calibri"/>
          <w:noProof/>
          <w:lang w:val="nl-NL"/>
        </w:rPr>
      </w:pPr>
      <w:r w:rsidRPr="005136FD">
        <w:rPr>
          <w:rFonts w:ascii="Calibri" w:hAnsi="Calibri" w:cs="Calibri"/>
          <w:noProof/>
        </w:rPr>
        <w:t xml:space="preserve">33. </w:t>
      </w:r>
      <w:r w:rsidRPr="005136FD">
        <w:rPr>
          <w:rFonts w:ascii="Calibri" w:hAnsi="Calibri" w:cs="Calibri"/>
          <w:noProof/>
        </w:rPr>
        <w:tab/>
        <w:t xml:space="preserve">Feehily C, Crosby D, Walsh CJ, et al. Shotgun sequencing of the vaginal microbiome reveals both a species and functional potential signature of preterm birth. </w:t>
      </w:r>
      <w:r w:rsidRPr="005136FD">
        <w:rPr>
          <w:rFonts w:ascii="Calibri" w:hAnsi="Calibri" w:cs="Calibri"/>
          <w:i/>
          <w:iCs/>
          <w:noProof/>
        </w:rPr>
        <w:t>npj Biofilms Microbiomes</w:t>
      </w:r>
      <w:r w:rsidRPr="005136FD">
        <w:rPr>
          <w:rFonts w:ascii="Calibri" w:hAnsi="Calibri" w:cs="Calibri"/>
          <w:noProof/>
        </w:rPr>
        <w:t xml:space="preserve">. </w:t>
      </w:r>
      <w:r w:rsidRPr="0086354C">
        <w:rPr>
          <w:rFonts w:ascii="Calibri" w:hAnsi="Calibri" w:cs="Calibri"/>
          <w:noProof/>
          <w:lang w:val="nl-NL"/>
        </w:rPr>
        <w:t>2020;6(1):1-9. doi:10.1038/s41522-020-00162-8</w:t>
      </w:r>
    </w:p>
    <w:p w14:paraId="4ED99E44"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86354C">
        <w:rPr>
          <w:rFonts w:ascii="Calibri" w:hAnsi="Calibri" w:cs="Calibri"/>
          <w:noProof/>
          <w:lang w:val="nl-NL"/>
        </w:rPr>
        <w:t xml:space="preserve">34. </w:t>
      </w:r>
      <w:r w:rsidRPr="0086354C">
        <w:rPr>
          <w:rFonts w:ascii="Calibri" w:hAnsi="Calibri" w:cs="Calibri"/>
          <w:noProof/>
          <w:lang w:val="nl-NL"/>
        </w:rPr>
        <w:tab/>
        <w:t xml:space="preserve">Odogwu NM, Chen J, Onebunne CA, et al.  </w:t>
      </w:r>
      <w:r w:rsidRPr="005136FD">
        <w:rPr>
          <w:rFonts w:ascii="Calibri" w:hAnsi="Calibri" w:cs="Calibri"/>
          <w:noProof/>
        </w:rPr>
        <w:t xml:space="preserve">Predominance of Atopobium vaginae at Midtrimester: a Potential Indicator of Preterm Birth Risk in a Nigerian Cohort . </w:t>
      </w:r>
      <w:r w:rsidRPr="005136FD">
        <w:rPr>
          <w:rFonts w:ascii="Calibri" w:hAnsi="Calibri" w:cs="Calibri"/>
          <w:i/>
          <w:iCs/>
          <w:noProof/>
        </w:rPr>
        <w:t>mSphere</w:t>
      </w:r>
      <w:r w:rsidRPr="005136FD">
        <w:rPr>
          <w:rFonts w:ascii="Calibri" w:hAnsi="Calibri" w:cs="Calibri"/>
          <w:noProof/>
        </w:rPr>
        <w:t>. 2021;6(1):1-20. doi:10.1128/msphere.01261-20</w:t>
      </w:r>
    </w:p>
    <w:p w14:paraId="0D9975B7"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35. </w:t>
      </w:r>
      <w:r w:rsidRPr="005136FD">
        <w:rPr>
          <w:rFonts w:ascii="Calibri" w:hAnsi="Calibri" w:cs="Calibri"/>
          <w:noProof/>
        </w:rPr>
        <w:tab/>
        <w:t xml:space="preserve">Payne MS, Newnham JP, Doherty DA, et al. A specific bacterial DNA signature in the vagina of </w:t>
      </w:r>
      <w:r w:rsidRPr="005136FD">
        <w:rPr>
          <w:rFonts w:ascii="Calibri" w:hAnsi="Calibri" w:cs="Calibri"/>
          <w:noProof/>
        </w:rPr>
        <w:lastRenderedPageBreak/>
        <w:t xml:space="preserve">Australian women in midpregnancy predicts high risk of spontaneous preterm birth (the Predict1000 study). </w:t>
      </w:r>
      <w:r w:rsidRPr="005136FD">
        <w:rPr>
          <w:rFonts w:ascii="Calibri" w:hAnsi="Calibri" w:cs="Calibri"/>
          <w:i/>
          <w:iCs/>
          <w:noProof/>
        </w:rPr>
        <w:t>Am J Obstet Gynecol</w:t>
      </w:r>
      <w:r w:rsidRPr="005136FD">
        <w:rPr>
          <w:rFonts w:ascii="Calibri" w:hAnsi="Calibri" w:cs="Calibri"/>
          <w:noProof/>
        </w:rPr>
        <w:t>. 2021;224(2):206.e1-206.e23. doi:10.1016/j.ajog.2020.08.034</w:t>
      </w:r>
    </w:p>
    <w:p w14:paraId="5345AD3E"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36. </w:t>
      </w:r>
      <w:r w:rsidRPr="005136FD">
        <w:rPr>
          <w:rFonts w:ascii="Calibri" w:hAnsi="Calibri" w:cs="Calibri"/>
          <w:noProof/>
        </w:rPr>
        <w:tab/>
        <w:t xml:space="preserve">Short CES, Brown RG, Quinlan R, et al. Lactobacillus-Depleted Vaginal Microbiota in Pregnant Women Living With HIV-1 Infection Are Associated With Increased Local Inflammation and Preterm Birth. </w:t>
      </w:r>
      <w:r w:rsidRPr="005136FD">
        <w:rPr>
          <w:rFonts w:ascii="Calibri" w:hAnsi="Calibri" w:cs="Calibri"/>
          <w:i/>
          <w:iCs/>
          <w:noProof/>
        </w:rPr>
        <w:t>Front Cell Infect Microbiol</w:t>
      </w:r>
      <w:r w:rsidRPr="005136FD">
        <w:rPr>
          <w:rFonts w:ascii="Calibri" w:hAnsi="Calibri" w:cs="Calibri"/>
          <w:noProof/>
        </w:rPr>
        <w:t>. 2021;10(February):1-12. doi:10.3389/fcimb.2020.596917</w:t>
      </w:r>
    </w:p>
    <w:p w14:paraId="33141378"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37. </w:t>
      </w:r>
      <w:r w:rsidRPr="005136FD">
        <w:rPr>
          <w:rFonts w:ascii="Calibri" w:hAnsi="Calibri" w:cs="Calibri"/>
          <w:noProof/>
        </w:rPr>
        <w:tab/>
        <w:t xml:space="preserve">Kumar M, Murugesan S, Singh P, et al. Vaginal Microbiota and Cytokine Levels Predict Preterm Delivery in Asian Women. </w:t>
      </w:r>
      <w:r w:rsidRPr="005136FD">
        <w:rPr>
          <w:rFonts w:ascii="Calibri" w:hAnsi="Calibri" w:cs="Calibri"/>
          <w:i/>
          <w:iCs/>
          <w:noProof/>
        </w:rPr>
        <w:t>Front Cell Infect Microbiol</w:t>
      </w:r>
      <w:r w:rsidRPr="005136FD">
        <w:rPr>
          <w:rFonts w:ascii="Calibri" w:hAnsi="Calibri" w:cs="Calibri"/>
          <w:noProof/>
        </w:rPr>
        <w:t>. 2021;11(March):1-16. doi:10.3389/fcimb.2021.639665</w:t>
      </w:r>
    </w:p>
    <w:p w14:paraId="243BA44F"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38. </w:t>
      </w:r>
      <w:r w:rsidRPr="005136FD">
        <w:rPr>
          <w:rFonts w:ascii="Calibri" w:hAnsi="Calibri" w:cs="Calibri"/>
          <w:noProof/>
        </w:rPr>
        <w:tab/>
        <w:t>Ministry of Housing Communities &amp; Local Government. English indices of deprivation 2015. http://imd-by-postcode.opendatacommunities.org/imd/2015. Published 2015. Accessed April 4, 2019.</w:t>
      </w:r>
    </w:p>
    <w:p w14:paraId="1F1B29A4"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39. </w:t>
      </w:r>
      <w:r w:rsidRPr="005136FD">
        <w:rPr>
          <w:rFonts w:ascii="Calibri" w:hAnsi="Calibri" w:cs="Calibri"/>
          <w:noProof/>
        </w:rPr>
        <w:tab/>
        <w:t>Department for Communities and Local Government. The English Index of Multiple Deprivation (IMD) 2015- Guidance. https://assets.publishing.service.gov.uk/government/uploads/system/uploads/attachment_data/file/464430/English_Index_of_Multiple_Deprivation_2015_-_Guidance.pdf. Published 2015. Accessed April 4, 2019.</w:t>
      </w:r>
    </w:p>
    <w:p w14:paraId="7019423B" w14:textId="77777777" w:rsidR="005136FD" w:rsidRPr="005136FD" w:rsidRDefault="005136FD" w:rsidP="005136FD">
      <w:pPr>
        <w:widowControl w:val="0"/>
        <w:autoSpaceDE w:val="0"/>
        <w:autoSpaceDN w:val="0"/>
        <w:adjustRightInd w:val="0"/>
        <w:ind w:left="640" w:hanging="640"/>
        <w:rPr>
          <w:rFonts w:ascii="Calibri" w:hAnsi="Calibri" w:cs="Calibri"/>
          <w:noProof/>
        </w:rPr>
      </w:pPr>
      <w:r w:rsidRPr="005136FD">
        <w:rPr>
          <w:rFonts w:ascii="Calibri" w:hAnsi="Calibri" w:cs="Calibri"/>
          <w:noProof/>
        </w:rPr>
        <w:t xml:space="preserve">40. </w:t>
      </w:r>
      <w:r w:rsidRPr="005136FD">
        <w:rPr>
          <w:rFonts w:ascii="Calibri" w:hAnsi="Calibri" w:cs="Calibri"/>
          <w:noProof/>
        </w:rPr>
        <w:tab/>
        <w:t xml:space="preserve">Van Der Pol WJ, Kumar R, Morrow CD, et al. In Silico and Experimental Evaluation of Primer Sets for Species-Level Resolution of the Vaginal Microbiota Using 16S Ribosomal RNA Gene Sequencing. </w:t>
      </w:r>
      <w:r w:rsidRPr="005136FD">
        <w:rPr>
          <w:rFonts w:ascii="Calibri" w:hAnsi="Calibri" w:cs="Calibri"/>
          <w:i/>
          <w:iCs/>
          <w:noProof/>
        </w:rPr>
        <w:t>J Infect Dis</w:t>
      </w:r>
      <w:r w:rsidRPr="005136FD">
        <w:rPr>
          <w:rFonts w:ascii="Calibri" w:hAnsi="Calibri" w:cs="Calibri"/>
          <w:noProof/>
        </w:rPr>
        <w:t>. 2019;219(2):305-314. doi:10.1093/infdis/jiy508</w:t>
      </w:r>
    </w:p>
    <w:p w14:paraId="72D26459" w14:textId="140EC07B" w:rsidR="00541192" w:rsidRPr="001823ED" w:rsidRDefault="00541192" w:rsidP="005136FD">
      <w:pPr>
        <w:widowControl w:val="0"/>
        <w:autoSpaceDE w:val="0"/>
        <w:autoSpaceDN w:val="0"/>
        <w:adjustRightInd w:val="0"/>
        <w:ind w:left="640" w:hanging="640"/>
        <w:rPr>
          <w:rFonts w:cs="Calibri"/>
          <w:noProof/>
        </w:rPr>
      </w:pPr>
      <w:r w:rsidRPr="001823ED">
        <w:fldChar w:fldCharType="end"/>
      </w:r>
    </w:p>
    <w:p w14:paraId="5FFDCAFF" w14:textId="0D874453" w:rsidR="00A90D75" w:rsidRPr="001823ED" w:rsidRDefault="00A90D75" w:rsidP="009D21B5">
      <w:pPr>
        <w:pStyle w:val="Heading1"/>
        <w:rPr>
          <w:lang w:val="en-GB"/>
        </w:rPr>
      </w:pPr>
    </w:p>
    <w:p w14:paraId="266174E0" w14:textId="77777777" w:rsidR="00A90D75" w:rsidRPr="001823ED" w:rsidRDefault="00A90D75" w:rsidP="009D21B5">
      <w:pPr>
        <w:widowControl w:val="0"/>
      </w:pPr>
      <w:r w:rsidRPr="001823ED">
        <w:br w:type="page"/>
      </w:r>
    </w:p>
    <w:p w14:paraId="26C4DEEC" w14:textId="77777777" w:rsidR="00695E2D" w:rsidRPr="001823ED" w:rsidRDefault="00A90D75" w:rsidP="009D21B5">
      <w:pPr>
        <w:pStyle w:val="Heading1"/>
        <w:rPr>
          <w:lang w:val="en-GB"/>
        </w:rPr>
      </w:pPr>
      <w:bookmarkStart w:id="25" w:name="_Toc69722998"/>
      <w:r w:rsidRPr="001823ED">
        <w:rPr>
          <w:lang w:val="en-GB"/>
        </w:rPr>
        <w:lastRenderedPageBreak/>
        <w:t>Supplementary Figure</w:t>
      </w:r>
      <w:r w:rsidR="00695E2D" w:rsidRPr="001823ED">
        <w:rPr>
          <w:lang w:val="en-GB"/>
        </w:rPr>
        <w:t>s</w:t>
      </w:r>
      <w:bookmarkEnd w:id="25"/>
      <w:r w:rsidRPr="001823ED">
        <w:rPr>
          <w:lang w:val="en-GB"/>
        </w:rPr>
        <w:t xml:space="preserve"> </w:t>
      </w:r>
    </w:p>
    <w:p w14:paraId="113C698C" w14:textId="77777777" w:rsidR="002749BA" w:rsidRDefault="002749BA" w:rsidP="002749BA"/>
    <w:p w14:paraId="3A180AD6" w14:textId="493BE25A" w:rsidR="002749BA" w:rsidRPr="002749BA" w:rsidRDefault="002749BA" w:rsidP="002749BA">
      <w:pPr>
        <w:rPr>
          <w:b/>
        </w:rPr>
      </w:pPr>
      <w:r w:rsidRPr="002749BA">
        <w:rPr>
          <w:b/>
        </w:rPr>
        <w:t>Figure A1: Heatmap of the bacter</w:t>
      </w:r>
      <w:r>
        <w:rPr>
          <w:b/>
        </w:rPr>
        <w:t>ial groups and 13 most abundant amplicon sequence variants</w:t>
      </w:r>
    </w:p>
    <w:p w14:paraId="7DAEBD29" w14:textId="6DA44278" w:rsidR="00A90D75" w:rsidRPr="001823ED" w:rsidRDefault="00A90D75" w:rsidP="009D21B5">
      <w:pPr>
        <w:widowControl w:val="0"/>
      </w:pPr>
    </w:p>
    <w:p w14:paraId="339BCE79" w14:textId="77777777" w:rsidR="00A90D75" w:rsidRPr="001823ED" w:rsidRDefault="00A90D75" w:rsidP="009D21B5">
      <w:pPr>
        <w:widowControl w:val="0"/>
      </w:pPr>
      <w:r w:rsidRPr="001823ED">
        <w:rPr>
          <w:noProof/>
          <w:lang w:val="en-US" w:eastAsia="en-US"/>
        </w:rPr>
        <w:drawing>
          <wp:inline distT="0" distB="0" distL="0" distR="0" wp14:anchorId="113A7CF4" wp14:editId="0BD84D93">
            <wp:extent cx="5117556" cy="5413214"/>
            <wp:effectExtent l="4763" t="0" r="5397" b="5398"/>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rotWithShape="1">
                    <a:blip r:embed="rId10" cstate="print">
                      <a:extLst>
                        <a:ext uri="{28A0092B-C50C-407E-A947-70E740481C1C}">
                          <a14:useLocalDpi xmlns:a14="http://schemas.microsoft.com/office/drawing/2010/main" val="0"/>
                        </a:ext>
                      </a:extLst>
                    </a:blip>
                    <a:srcRect l="599" t="12284" r="1" b="13327"/>
                    <a:stretch/>
                  </pic:blipFill>
                  <pic:spPr bwMode="auto">
                    <a:xfrm rot="5400000">
                      <a:off x="0" y="0"/>
                      <a:ext cx="5178723" cy="5477915"/>
                    </a:xfrm>
                    <a:prstGeom prst="rect">
                      <a:avLst/>
                    </a:prstGeom>
                    <a:ln>
                      <a:noFill/>
                    </a:ln>
                    <a:extLst>
                      <a:ext uri="{53640926-AAD7-44D8-BBD7-CCE9431645EC}">
                        <a14:shadowObscured xmlns:a14="http://schemas.microsoft.com/office/drawing/2010/main"/>
                      </a:ext>
                    </a:extLst>
                  </pic:spPr>
                </pic:pic>
              </a:graphicData>
            </a:graphic>
          </wp:inline>
        </w:drawing>
      </w:r>
    </w:p>
    <w:p w14:paraId="7B4CC61B" w14:textId="77777777" w:rsidR="00A90D75" w:rsidRPr="001823ED" w:rsidRDefault="00A90D75" w:rsidP="009D21B5">
      <w:pPr>
        <w:widowControl w:val="0"/>
      </w:pPr>
    </w:p>
    <w:p w14:paraId="2DAE2967" w14:textId="77777777" w:rsidR="005D1D14" w:rsidRPr="001823ED" w:rsidRDefault="0058154B" w:rsidP="009D21B5">
      <w:pPr>
        <w:widowControl w:val="0"/>
        <w:rPr>
          <w:sz w:val="18"/>
          <w:szCs w:val="18"/>
        </w:rPr>
      </w:pPr>
      <w:r w:rsidRPr="001823ED">
        <w:rPr>
          <w:sz w:val="18"/>
          <w:szCs w:val="18"/>
          <w:u w:val="single"/>
        </w:rPr>
        <w:t>Abbreviations</w:t>
      </w:r>
      <w:r w:rsidRPr="001823ED">
        <w:rPr>
          <w:sz w:val="18"/>
          <w:szCs w:val="18"/>
        </w:rPr>
        <w:t xml:space="preserve">: BV, bacterial vaginosis; BVAB1, BV-associated bacterium type 1; BVAB TM7, BV-associated bacterium (phylum TM7). </w:t>
      </w:r>
    </w:p>
    <w:p w14:paraId="4B58E4F5" w14:textId="149251C4" w:rsidR="00A90D75" w:rsidRPr="001823ED" w:rsidRDefault="00A90D75" w:rsidP="009D21B5">
      <w:pPr>
        <w:widowControl w:val="0"/>
        <w:rPr>
          <w:sz w:val="20"/>
          <w:szCs w:val="20"/>
        </w:rPr>
      </w:pPr>
      <w:r w:rsidRPr="001823ED">
        <w:rPr>
          <w:sz w:val="18"/>
          <w:szCs w:val="18"/>
        </w:rPr>
        <w:t>This heatmap depicts all samples (</w:t>
      </w:r>
      <w:r w:rsidRPr="001823ED">
        <w:rPr>
          <w:i/>
          <w:iCs/>
          <w:sz w:val="18"/>
          <w:szCs w:val="18"/>
        </w:rPr>
        <w:t xml:space="preserve">n </w:t>
      </w:r>
      <w:r w:rsidRPr="001823ED">
        <w:rPr>
          <w:sz w:val="18"/>
          <w:szCs w:val="18"/>
        </w:rPr>
        <w:t>= 254) on the x-axis</w:t>
      </w:r>
      <w:r w:rsidR="0058154B" w:rsidRPr="001823ED">
        <w:rPr>
          <w:sz w:val="18"/>
          <w:szCs w:val="18"/>
        </w:rPr>
        <w:t>: one column represents one sample</w:t>
      </w:r>
      <w:r w:rsidRPr="001823ED">
        <w:rPr>
          <w:sz w:val="18"/>
          <w:szCs w:val="18"/>
        </w:rPr>
        <w:t xml:space="preserve">. </w:t>
      </w:r>
      <w:r w:rsidR="0058154B" w:rsidRPr="001823ED">
        <w:rPr>
          <w:sz w:val="18"/>
          <w:szCs w:val="18"/>
        </w:rPr>
        <w:t>The top bar depicts pregnancy outcome group. The next</w:t>
      </w:r>
      <w:r w:rsidRPr="001823ED">
        <w:rPr>
          <w:sz w:val="18"/>
          <w:szCs w:val="18"/>
        </w:rPr>
        <w:t xml:space="preserve"> four bars show </w:t>
      </w:r>
      <w:r w:rsidR="0058154B" w:rsidRPr="001823ED">
        <w:rPr>
          <w:sz w:val="18"/>
          <w:szCs w:val="18"/>
        </w:rPr>
        <w:t xml:space="preserve">relative abundances of the </w:t>
      </w:r>
      <w:r w:rsidRPr="001823ED">
        <w:rPr>
          <w:sz w:val="18"/>
          <w:szCs w:val="18"/>
        </w:rPr>
        <w:t xml:space="preserve">four mutually exclusive </w:t>
      </w:r>
      <w:r w:rsidR="0058154B" w:rsidRPr="001823ED">
        <w:rPr>
          <w:sz w:val="18"/>
          <w:szCs w:val="18"/>
        </w:rPr>
        <w:t xml:space="preserve">bacterial </w:t>
      </w:r>
      <w:r w:rsidRPr="001823ED">
        <w:rPr>
          <w:sz w:val="18"/>
          <w:szCs w:val="18"/>
        </w:rPr>
        <w:t>groups</w:t>
      </w:r>
      <w:r w:rsidR="0058154B" w:rsidRPr="001823ED">
        <w:rPr>
          <w:sz w:val="18"/>
          <w:szCs w:val="18"/>
        </w:rPr>
        <w:t xml:space="preserve">, and the bottom 13 bars </w:t>
      </w:r>
      <w:r w:rsidR="002749BA">
        <w:rPr>
          <w:sz w:val="18"/>
          <w:szCs w:val="18"/>
        </w:rPr>
        <w:t xml:space="preserve">relative abundances of </w:t>
      </w:r>
      <w:r w:rsidRPr="001823ED">
        <w:rPr>
          <w:sz w:val="18"/>
          <w:szCs w:val="18"/>
        </w:rPr>
        <w:t>the 13</w:t>
      </w:r>
      <w:r w:rsidR="00B6297E">
        <w:rPr>
          <w:sz w:val="18"/>
          <w:szCs w:val="18"/>
        </w:rPr>
        <w:t xml:space="preserve"> most abundant</w:t>
      </w:r>
      <w:r w:rsidR="002749BA">
        <w:rPr>
          <w:sz w:val="18"/>
          <w:szCs w:val="18"/>
        </w:rPr>
        <w:t xml:space="preserve"> amplicon sequence variants</w:t>
      </w:r>
      <w:r w:rsidR="0058154B" w:rsidRPr="001823ED">
        <w:rPr>
          <w:sz w:val="18"/>
          <w:szCs w:val="18"/>
        </w:rPr>
        <w:t>.</w:t>
      </w:r>
    </w:p>
    <w:p w14:paraId="014A2DE8" w14:textId="77777777" w:rsidR="00A90D75" w:rsidRPr="001823ED" w:rsidRDefault="00A90D75" w:rsidP="009D21B5">
      <w:pPr>
        <w:widowControl w:val="0"/>
        <w:autoSpaceDE w:val="0"/>
        <w:autoSpaceDN w:val="0"/>
        <w:adjustRightInd w:val="0"/>
        <w:ind w:left="640" w:hanging="640"/>
        <w:rPr>
          <w:rStyle w:val="Heading1Char"/>
          <w:rFonts w:eastAsia="Calibri"/>
          <w:lang w:val="en-GB"/>
        </w:rPr>
        <w:sectPr w:rsidR="00A90D75" w:rsidRPr="001823ED" w:rsidSect="00EA00CC">
          <w:footerReference w:type="even" r:id="rId11"/>
          <w:footerReference w:type="default" r:id="rId12"/>
          <w:pgSz w:w="11906" w:h="16838" w:code="9"/>
          <w:pgMar w:top="1417" w:right="1417" w:bottom="1417" w:left="1417" w:header="720" w:footer="720" w:gutter="0"/>
          <w:cols w:space="720"/>
          <w:titlePg/>
          <w:docGrid w:linePitch="360"/>
        </w:sectPr>
      </w:pPr>
    </w:p>
    <w:p w14:paraId="7A7771DB" w14:textId="7C617BF7" w:rsidR="00B016A6" w:rsidRPr="001823ED" w:rsidRDefault="007C6144" w:rsidP="009D21B5">
      <w:pPr>
        <w:widowControl w:val="0"/>
        <w:rPr>
          <w:b/>
        </w:rPr>
      </w:pPr>
      <w:r w:rsidRPr="001823ED">
        <w:rPr>
          <w:b/>
        </w:rPr>
        <w:lastRenderedPageBreak/>
        <w:t xml:space="preserve">Figure A2: </w:t>
      </w:r>
      <w:r w:rsidR="005D1D14" w:rsidRPr="001823ED">
        <w:rPr>
          <w:b/>
        </w:rPr>
        <w:t>A</w:t>
      </w:r>
      <w:r w:rsidR="00695E2D" w:rsidRPr="001823ED">
        <w:rPr>
          <w:b/>
        </w:rPr>
        <w:t xml:space="preserve">ssociations </w:t>
      </w:r>
      <w:r w:rsidR="0058154B" w:rsidRPr="001823ED">
        <w:rPr>
          <w:b/>
        </w:rPr>
        <w:t>between VMB characteristics</w:t>
      </w:r>
      <w:r w:rsidR="00EB5998" w:rsidRPr="001823ED">
        <w:rPr>
          <w:b/>
        </w:rPr>
        <w:t xml:space="preserve"> and recurrent early sPTB</w:t>
      </w:r>
      <w:r w:rsidR="0043070D" w:rsidRPr="001823ED">
        <w:rPr>
          <w:b/>
        </w:rPr>
        <w:t>/</w:t>
      </w:r>
      <w:r w:rsidR="00EB5998" w:rsidRPr="001823ED">
        <w:rPr>
          <w:b/>
        </w:rPr>
        <w:t>PPROM</w:t>
      </w:r>
    </w:p>
    <w:p w14:paraId="61E656A9" w14:textId="549270A3" w:rsidR="00D67293" w:rsidRPr="001823ED" w:rsidRDefault="00D67293" w:rsidP="009D21B5">
      <w:pPr>
        <w:widowControl w:val="0"/>
      </w:pPr>
    </w:p>
    <w:p w14:paraId="3A7F5427" w14:textId="3B093FC9" w:rsidR="0043070D" w:rsidRPr="001823ED" w:rsidRDefault="009F2678" w:rsidP="009D21B5">
      <w:pPr>
        <w:widowControl w:val="0"/>
      </w:pPr>
      <w:r w:rsidRPr="009F2678">
        <w:rPr>
          <w:noProof/>
          <w:lang w:val="en-US" w:eastAsia="en-US"/>
        </w:rPr>
        <w:drawing>
          <wp:inline distT="0" distB="0" distL="0" distR="0" wp14:anchorId="6CE0C7C6" wp14:editId="3D3FC613">
            <wp:extent cx="5760720" cy="6745605"/>
            <wp:effectExtent l="0" t="0" r="0" b="0"/>
            <wp:docPr id="5" name="Picture 5" descr="A picture containing text, screensho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businesscard, vector graphics&#10;&#10;Description automatically generated"/>
                    <pic:cNvPicPr/>
                  </pic:nvPicPr>
                  <pic:blipFill>
                    <a:blip r:embed="rId13"/>
                    <a:stretch>
                      <a:fillRect/>
                    </a:stretch>
                  </pic:blipFill>
                  <pic:spPr>
                    <a:xfrm>
                      <a:off x="0" y="0"/>
                      <a:ext cx="5760720" cy="6745605"/>
                    </a:xfrm>
                    <a:prstGeom prst="rect">
                      <a:avLst/>
                    </a:prstGeom>
                  </pic:spPr>
                </pic:pic>
              </a:graphicData>
            </a:graphic>
          </wp:inline>
        </w:drawing>
      </w:r>
    </w:p>
    <w:p w14:paraId="2025FFF0" w14:textId="77777777" w:rsidR="002749BA" w:rsidRDefault="002749BA" w:rsidP="009D21B5">
      <w:pPr>
        <w:widowControl w:val="0"/>
        <w:rPr>
          <w:sz w:val="18"/>
          <w:szCs w:val="18"/>
          <w:u w:val="single"/>
        </w:rPr>
      </w:pPr>
    </w:p>
    <w:p w14:paraId="080FB11E" w14:textId="03B70ACD" w:rsidR="005D1D14" w:rsidRPr="001823ED" w:rsidRDefault="00494C44" w:rsidP="009D21B5">
      <w:pPr>
        <w:widowControl w:val="0"/>
        <w:rPr>
          <w:color w:val="202124"/>
          <w:sz w:val="18"/>
          <w:szCs w:val="18"/>
          <w:shd w:val="clear" w:color="auto" w:fill="FFFFFF"/>
        </w:rPr>
      </w:pPr>
      <w:r w:rsidRPr="001823ED">
        <w:rPr>
          <w:sz w:val="18"/>
          <w:szCs w:val="18"/>
          <w:u w:val="single"/>
        </w:rPr>
        <w:t>Abbreviations</w:t>
      </w:r>
      <w:r w:rsidRPr="001823ED">
        <w:rPr>
          <w:sz w:val="18"/>
          <w:szCs w:val="18"/>
        </w:rPr>
        <w:t>: LR term</w:t>
      </w:r>
      <w:r w:rsidR="005D1D14" w:rsidRPr="001823ED">
        <w:rPr>
          <w:sz w:val="18"/>
          <w:szCs w:val="18"/>
        </w:rPr>
        <w:t xml:space="preserve">, </w:t>
      </w:r>
      <w:r w:rsidR="00181470" w:rsidRPr="001823ED">
        <w:rPr>
          <w:sz w:val="18"/>
          <w:szCs w:val="18"/>
        </w:rPr>
        <w:t xml:space="preserve">low-risk pregnancies with birth </w:t>
      </w:r>
      <w:r w:rsidR="00181470" w:rsidRPr="001823ED">
        <w:rPr>
          <w:color w:val="202124"/>
          <w:sz w:val="18"/>
          <w:szCs w:val="18"/>
          <w:shd w:val="clear" w:color="auto" w:fill="FFFFFF"/>
        </w:rPr>
        <w:t>≥</w:t>
      </w:r>
      <w:r w:rsidR="007D7F33" w:rsidRPr="001823ED">
        <w:rPr>
          <w:color w:val="202124"/>
          <w:sz w:val="18"/>
          <w:szCs w:val="18"/>
          <w:shd w:val="clear" w:color="auto" w:fill="FFFFFF"/>
        </w:rPr>
        <w:t>39</w:t>
      </w:r>
      <w:r w:rsidR="007D7F33" w:rsidRPr="001823ED">
        <w:rPr>
          <w:color w:val="202124"/>
          <w:sz w:val="18"/>
          <w:szCs w:val="18"/>
          <w:shd w:val="clear" w:color="auto" w:fill="FFFFFF"/>
          <w:vertAlign w:val="superscript"/>
        </w:rPr>
        <w:t>+0</w:t>
      </w:r>
      <w:r w:rsidR="005D1D14" w:rsidRPr="001823ED">
        <w:rPr>
          <w:color w:val="202124"/>
          <w:sz w:val="18"/>
          <w:szCs w:val="18"/>
          <w:shd w:val="clear" w:color="auto" w:fill="FFFFFF"/>
        </w:rPr>
        <w:t xml:space="preserve"> weeks; HR term, </w:t>
      </w:r>
      <w:r w:rsidR="007D7F33" w:rsidRPr="001823ED">
        <w:rPr>
          <w:color w:val="202124"/>
          <w:sz w:val="18"/>
          <w:szCs w:val="18"/>
          <w:shd w:val="clear" w:color="auto" w:fill="FFFFFF"/>
        </w:rPr>
        <w:t>high-risk pregnancies with birth ≥ 37</w:t>
      </w:r>
      <w:r w:rsidR="007D7F33" w:rsidRPr="001823ED">
        <w:rPr>
          <w:color w:val="202124"/>
          <w:sz w:val="18"/>
          <w:szCs w:val="18"/>
          <w:shd w:val="clear" w:color="auto" w:fill="FFFFFF"/>
          <w:vertAlign w:val="superscript"/>
        </w:rPr>
        <w:t>+0</w:t>
      </w:r>
      <w:r w:rsidR="005D1D14" w:rsidRPr="001823ED">
        <w:rPr>
          <w:color w:val="202124"/>
          <w:sz w:val="18"/>
          <w:szCs w:val="18"/>
          <w:shd w:val="clear" w:color="auto" w:fill="FFFFFF"/>
        </w:rPr>
        <w:t xml:space="preserve"> weeks; </w:t>
      </w:r>
      <w:r w:rsidR="007D7F33" w:rsidRPr="001823ED">
        <w:rPr>
          <w:color w:val="202124"/>
          <w:sz w:val="18"/>
          <w:szCs w:val="18"/>
          <w:shd w:val="clear" w:color="auto" w:fill="FFFFFF"/>
        </w:rPr>
        <w:t>HR preterm</w:t>
      </w:r>
      <w:r w:rsidR="005D1D14" w:rsidRPr="001823ED">
        <w:rPr>
          <w:color w:val="202124"/>
          <w:sz w:val="18"/>
          <w:szCs w:val="18"/>
          <w:shd w:val="clear" w:color="auto" w:fill="FFFFFF"/>
        </w:rPr>
        <w:t xml:space="preserve">, </w:t>
      </w:r>
      <w:r w:rsidR="00E164D0" w:rsidRPr="001823ED">
        <w:rPr>
          <w:color w:val="202124"/>
          <w:sz w:val="18"/>
          <w:szCs w:val="18"/>
          <w:shd w:val="clear" w:color="auto" w:fill="FFFFFF"/>
        </w:rPr>
        <w:t>high-risk pregnancies with spontaneous preterm birth</w:t>
      </w:r>
      <w:r w:rsidR="007A6089" w:rsidRPr="001823ED">
        <w:rPr>
          <w:color w:val="202124"/>
          <w:sz w:val="18"/>
          <w:szCs w:val="18"/>
          <w:shd w:val="clear" w:color="auto" w:fill="FFFFFF"/>
        </w:rPr>
        <w:t xml:space="preserve"> (SPTB)</w:t>
      </w:r>
      <w:r w:rsidR="00E164D0" w:rsidRPr="001823ED">
        <w:rPr>
          <w:color w:val="202124"/>
          <w:sz w:val="18"/>
          <w:szCs w:val="18"/>
          <w:shd w:val="clear" w:color="auto" w:fill="FFFFFF"/>
        </w:rPr>
        <w:t xml:space="preserve"> or </w:t>
      </w:r>
      <w:r w:rsidR="007A6089" w:rsidRPr="001823ED">
        <w:rPr>
          <w:color w:val="202124"/>
          <w:sz w:val="18"/>
          <w:szCs w:val="18"/>
          <w:shd w:val="clear" w:color="auto" w:fill="FFFFFF"/>
        </w:rPr>
        <w:t>premature prelabour rupture of membranes (</w:t>
      </w:r>
      <w:r w:rsidR="00E164D0" w:rsidRPr="001823ED">
        <w:rPr>
          <w:color w:val="202124"/>
          <w:sz w:val="18"/>
          <w:szCs w:val="18"/>
          <w:shd w:val="clear" w:color="auto" w:fill="FFFFFF"/>
        </w:rPr>
        <w:t>PPROM</w:t>
      </w:r>
      <w:r w:rsidR="007A6089" w:rsidRPr="001823ED">
        <w:rPr>
          <w:color w:val="202124"/>
          <w:sz w:val="18"/>
          <w:szCs w:val="18"/>
          <w:shd w:val="clear" w:color="auto" w:fill="FFFFFF"/>
        </w:rPr>
        <w:t>)</w:t>
      </w:r>
      <w:r w:rsidR="00E164D0" w:rsidRPr="001823ED">
        <w:rPr>
          <w:color w:val="202124"/>
          <w:sz w:val="18"/>
          <w:szCs w:val="18"/>
          <w:shd w:val="clear" w:color="auto" w:fill="FFFFFF"/>
        </w:rPr>
        <w:t xml:space="preserve"> &lt;34</w:t>
      </w:r>
      <w:r w:rsidR="00E164D0" w:rsidRPr="001823ED">
        <w:rPr>
          <w:color w:val="202124"/>
          <w:sz w:val="18"/>
          <w:szCs w:val="18"/>
          <w:shd w:val="clear" w:color="auto" w:fill="FFFFFF"/>
          <w:vertAlign w:val="superscript"/>
        </w:rPr>
        <w:t>+0</w:t>
      </w:r>
      <w:r w:rsidR="00E164D0" w:rsidRPr="001823ED">
        <w:rPr>
          <w:color w:val="202124"/>
          <w:sz w:val="18"/>
          <w:szCs w:val="18"/>
          <w:shd w:val="clear" w:color="auto" w:fill="FFFFFF"/>
        </w:rPr>
        <w:t xml:space="preserve"> weeks. </w:t>
      </w:r>
    </w:p>
    <w:p w14:paraId="4A31B3A7" w14:textId="3B764124" w:rsidR="00294684" w:rsidRPr="001823ED" w:rsidRDefault="00494C44" w:rsidP="009D21B5">
      <w:pPr>
        <w:widowControl w:val="0"/>
        <w:rPr>
          <w:sz w:val="20"/>
          <w:szCs w:val="20"/>
        </w:rPr>
      </w:pPr>
      <w:r w:rsidRPr="001823ED">
        <w:rPr>
          <w:rFonts w:eastAsiaTheme="minorEastAsia"/>
          <w:b/>
          <w:sz w:val="18"/>
          <w:szCs w:val="18"/>
        </w:rPr>
        <w:t>A)</w:t>
      </w:r>
      <w:r w:rsidRPr="001823ED">
        <w:rPr>
          <w:rFonts w:eastAsiaTheme="minorEastAsia"/>
          <w:sz w:val="18"/>
          <w:szCs w:val="18"/>
        </w:rPr>
        <w:t xml:space="preserve"> Bacterial taxa</w:t>
      </w:r>
      <w:r w:rsidR="005D1D14" w:rsidRPr="001823ED">
        <w:rPr>
          <w:rFonts w:eastAsiaTheme="minorEastAsia"/>
          <w:sz w:val="18"/>
          <w:szCs w:val="18"/>
        </w:rPr>
        <w:t xml:space="preserve"> of interest presence in percentage of LR term, HR term, and HR preterm women. Dark colour= taxa present; l</w:t>
      </w:r>
      <w:r w:rsidRPr="001823ED">
        <w:rPr>
          <w:rFonts w:eastAsiaTheme="minorEastAsia"/>
          <w:sz w:val="18"/>
          <w:szCs w:val="18"/>
        </w:rPr>
        <w:t xml:space="preserve">ight colour= taxa not present. </w:t>
      </w:r>
      <w:r w:rsidRPr="001823ED">
        <w:rPr>
          <w:rFonts w:eastAsiaTheme="minorEastAsia"/>
          <w:b/>
          <w:sz w:val="18"/>
          <w:szCs w:val="18"/>
        </w:rPr>
        <w:t>B-C)</w:t>
      </w:r>
      <w:r w:rsidRPr="001823ED">
        <w:rPr>
          <w:rFonts w:eastAsiaTheme="minorEastAsia"/>
          <w:sz w:val="18"/>
          <w:szCs w:val="18"/>
        </w:rPr>
        <w:t xml:space="preserve"> Percentage of </w:t>
      </w:r>
      <w:r w:rsidR="005D1D14" w:rsidRPr="001823ED">
        <w:rPr>
          <w:rFonts w:eastAsiaTheme="minorEastAsia"/>
          <w:sz w:val="18"/>
          <w:szCs w:val="18"/>
        </w:rPr>
        <w:t xml:space="preserve">women </w:t>
      </w:r>
      <w:r w:rsidRPr="001823ED">
        <w:rPr>
          <w:rFonts w:eastAsiaTheme="minorEastAsia"/>
          <w:sz w:val="18"/>
          <w:szCs w:val="18"/>
        </w:rPr>
        <w:t xml:space="preserve">in each quartile of total bacterial load (B) and total estimated </w:t>
      </w:r>
      <w:r w:rsidRPr="001823ED">
        <w:rPr>
          <w:rFonts w:eastAsiaTheme="minorEastAsia"/>
          <w:i/>
          <w:iCs/>
          <w:sz w:val="18"/>
          <w:szCs w:val="18"/>
        </w:rPr>
        <w:t xml:space="preserve">Lactobacillus </w:t>
      </w:r>
      <w:r w:rsidRPr="001A1DFD">
        <w:rPr>
          <w:rFonts w:eastAsiaTheme="minorEastAsia"/>
          <w:sz w:val="18"/>
          <w:szCs w:val="18"/>
        </w:rPr>
        <w:t>concentration</w:t>
      </w:r>
      <w:r w:rsidRPr="001823ED">
        <w:rPr>
          <w:rFonts w:eastAsiaTheme="minorEastAsia"/>
          <w:i/>
          <w:iCs/>
          <w:sz w:val="18"/>
          <w:szCs w:val="18"/>
        </w:rPr>
        <w:t xml:space="preserve"> </w:t>
      </w:r>
      <w:r w:rsidR="005D1D14" w:rsidRPr="001823ED">
        <w:rPr>
          <w:rFonts w:eastAsiaTheme="minorEastAsia"/>
          <w:iCs/>
          <w:sz w:val="18"/>
          <w:szCs w:val="18"/>
        </w:rPr>
        <w:t>(C) for the HR term and HR preterm groups</w:t>
      </w:r>
      <w:r w:rsidRPr="001823ED">
        <w:rPr>
          <w:rFonts w:eastAsiaTheme="minorEastAsia"/>
          <w:sz w:val="18"/>
          <w:szCs w:val="18"/>
        </w:rPr>
        <w:t xml:space="preserve">. Quartiles were generated </w:t>
      </w:r>
      <w:r w:rsidR="005D1D14" w:rsidRPr="001823ED">
        <w:rPr>
          <w:rFonts w:eastAsiaTheme="minorEastAsia"/>
          <w:sz w:val="18"/>
          <w:szCs w:val="18"/>
        </w:rPr>
        <w:t xml:space="preserve">using LR term </w:t>
      </w:r>
      <w:r w:rsidRPr="001823ED">
        <w:rPr>
          <w:rFonts w:eastAsiaTheme="minorEastAsia"/>
          <w:sz w:val="18"/>
          <w:szCs w:val="18"/>
        </w:rPr>
        <w:t>cohort</w:t>
      </w:r>
      <w:r w:rsidR="005D1D14" w:rsidRPr="001823ED">
        <w:rPr>
          <w:rFonts w:eastAsiaTheme="minorEastAsia"/>
          <w:sz w:val="18"/>
          <w:szCs w:val="18"/>
        </w:rPr>
        <w:t xml:space="preserve"> distributions</w:t>
      </w:r>
      <w:r w:rsidRPr="001823ED">
        <w:rPr>
          <w:rFonts w:eastAsiaTheme="minorEastAsia"/>
          <w:sz w:val="18"/>
          <w:szCs w:val="18"/>
        </w:rPr>
        <w:t xml:space="preserve">. Odds ratios are </w:t>
      </w:r>
      <w:r w:rsidR="005D1D14" w:rsidRPr="001823ED">
        <w:rPr>
          <w:rFonts w:eastAsiaTheme="minorEastAsia"/>
          <w:sz w:val="18"/>
          <w:szCs w:val="18"/>
        </w:rPr>
        <w:t>adjusted for BMI,</w:t>
      </w:r>
      <w:r w:rsidRPr="001823ED">
        <w:rPr>
          <w:rFonts w:eastAsiaTheme="minorEastAsia"/>
          <w:sz w:val="18"/>
          <w:szCs w:val="18"/>
        </w:rPr>
        <w:t xml:space="preserve"> cervical surgery</w:t>
      </w:r>
      <w:r w:rsidR="005D1D14" w:rsidRPr="001823ED">
        <w:rPr>
          <w:rFonts w:eastAsiaTheme="minorEastAsia"/>
          <w:sz w:val="18"/>
          <w:szCs w:val="18"/>
        </w:rPr>
        <w:t>, and smoking</w:t>
      </w:r>
      <w:r w:rsidRPr="001823ED">
        <w:rPr>
          <w:rFonts w:eastAsiaTheme="minorEastAsia"/>
          <w:sz w:val="18"/>
          <w:szCs w:val="18"/>
        </w:rPr>
        <w:t xml:space="preserve">. </w:t>
      </w:r>
      <w:r w:rsidR="00294684" w:rsidRPr="001823ED">
        <w:rPr>
          <w:rFonts w:eastAsia="Calibri"/>
          <w:b/>
          <w:sz w:val="18"/>
          <w:szCs w:val="18"/>
        </w:rPr>
        <w:t>D)</w:t>
      </w:r>
      <w:r w:rsidR="00294684" w:rsidRPr="001823ED">
        <w:rPr>
          <w:rFonts w:eastAsia="Calibri"/>
          <w:sz w:val="18"/>
          <w:szCs w:val="18"/>
        </w:rPr>
        <w:t xml:space="preserve"> </w:t>
      </w:r>
      <w:r w:rsidR="001F5BA1">
        <w:rPr>
          <w:rFonts w:eastAsia="Calibri"/>
          <w:sz w:val="18"/>
          <w:szCs w:val="18"/>
        </w:rPr>
        <w:t xml:space="preserve">Venn </w:t>
      </w:r>
      <w:r w:rsidR="00EE6139" w:rsidRPr="001823ED">
        <w:rPr>
          <w:rFonts w:eastAsia="Calibri"/>
          <w:sz w:val="18"/>
          <w:szCs w:val="18"/>
        </w:rPr>
        <w:t>diagram</w:t>
      </w:r>
      <w:r w:rsidR="001F5BA1">
        <w:rPr>
          <w:rFonts w:eastAsia="Calibri"/>
          <w:sz w:val="18"/>
          <w:szCs w:val="18"/>
        </w:rPr>
        <w:t>s</w:t>
      </w:r>
      <w:r w:rsidR="00EE6139" w:rsidRPr="001823ED">
        <w:rPr>
          <w:rFonts w:eastAsia="Calibri"/>
          <w:sz w:val="18"/>
          <w:szCs w:val="18"/>
        </w:rPr>
        <w:t xml:space="preserve"> showing the </w:t>
      </w:r>
      <w:r w:rsidR="00294684" w:rsidRPr="001823ED">
        <w:rPr>
          <w:rFonts w:eastAsia="Calibri"/>
          <w:sz w:val="18"/>
          <w:szCs w:val="18"/>
        </w:rPr>
        <w:t xml:space="preserve">co-location of VMB characteristics that </w:t>
      </w:r>
      <w:r w:rsidR="005D1D14" w:rsidRPr="001823ED">
        <w:rPr>
          <w:rFonts w:eastAsia="Calibri"/>
          <w:sz w:val="18"/>
          <w:szCs w:val="18"/>
        </w:rPr>
        <w:t xml:space="preserve">were positively associated </w:t>
      </w:r>
      <w:r w:rsidR="00294684" w:rsidRPr="001823ED">
        <w:rPr>
          <w:rFonts w:eastAsia="Calibri"/>
          <w:sz w:val="18"/>
          <w:szCs w:val="18"/>
        </w:rPr>
        <w:t xml:space="preserve">with </w:t>
      </w:r>
      <w:r w:rsidR="005D1D14" w:rsidRPr="001823ED">
        <w:rPr>
          <w:rFonts w:eastAsia="Calibri"/>
          <w:sz w:val="18"/>
          <w:szCs w:val="18"/>
        </w:rPr>
        <w:t xml:space="preserve">early preterm birth recurrence </w:t>
      </w:r>
      <w:r w:rsidR="00294684" w:rsidRPr="001823ED">
        <w:rPr>
          <w:rFonts w:eastAsia="Calibri"/>
          <w:sz w:val="18"/>
          <w:szCs w:val="18"/>
        </w:rPr>
        <w:t>within the high</w:t>
      </w:r>
      <w:r w:rsidR="00ED2A05" w:rsidRPr="001823ED">
        <w:rPr>
          <w:rFonts w:eastAsia="Calibri"/>
          <w:sz w:val="18"/>
          <w:szCs w:val="18"/>
        </w:rPr>
        <w:t>-</w:t>
      </w:r>
      <w:r w:rsidR="00294684" w:rsidRPr="001823ED">
        <w:rPr>
          <w:rFonts w:eastAsia="Calibri"/>
          <w:sz w:val="18"/>
          <w:szCs w:val="18"/>
        </w:rPr>
        <w:t xml:space="preserve">risk cohort. </w:t>
      </w:r>
      <w:r w:rsidR="007A6089" w:rsidRPr="001823ED">
        <w:rPr>
          <w:rFonts w:eastAsia="Calibri"/>
          <w:sz w:val="18"/>
          <w:szCs w:val="18"/>
        </w:rPr>
        <w:t xml:space="preserve">17/22 (77%) of HR preterm and 44/87 (50.6%) of HR term participants had at least one VMB characteristic associated with early sPTB/PPROM recurrence. The highest quartile of bacterial load </w:t>
      </w:r>
      <w:r w:rsidR="009A5FB0">
        <w:rPr>
          <w:rFonts w:eastAsia="Calibri"/>
          <w:sz w:val="18"/>
          <w:szCs w:val="18"/>
        </w:rPr>
        <w:t xml:space="preserve">had complete overlap with highest quartile of </w:t>
      </w:r>
      <w:r w:rsidR="008F30BF">
        <w:rPr>
          <w:rFonts w:eastAsia="Calibri"/>
          <w:sz w:val="18"/>
          <w:szCs w:val="18"/>
        </w:rPr>
        <w:t xml:space="preserve">total </w:t>
      </w:r>
      <w:r w:rsidR="008F30BF" w:rsidRPr="001A1DFD">
        <w:rPr>
          <w:rFonts w:eastAsia="Calibri"/>
          <w:i/>
          <w:iCs/>
          <w:sz w:val="18"/>
          <w:szCs w:val="18"/>
        </w:rPr>
        <w:t xml:space="preserve">Lactobacillus </w:t>
      </w:r>
      <w:r w:rsidR="008F30BF">
        <w:rPr>
          <w:rFonts w:eastAsia="Calibri"/>
          <w:sz w:val="18"/>
          <w:szCs w:val="18"/>
        </w:rPr>
        <w:t xml:space="preserve">concentration, and so only total bacterial load </w:t>
      </w:r>
      <w:r w:rsidR="001A1DFD">
        <w:rPr>
          <w:rFonts w:eastAsia="Calibri"/>
          <w:sz w:val="18"/>
          <w:szCs w:val="18"/>
        </w:rPr>
        <w:t xml:space="preserve">is shown. </w:t>
      </w:r>
    </w:p>
    <w:p w14:paraId="5862818E" w14:textId="473795EC" w:rsidR="0043070D" w:rsidRPr="001823ED" w:rsidRDefault="0043070D" w:rsidP="009D21B5">
      <w:pPr>
        <w:widowControl w:val="0"/>
        <w:rPr>
          <w:rFonts w:eastAsia="Calibri"/>
        </w:rPr>
        <w:sectPr w:rsidR="0043070D" w:rsidRPr="001823ED" w:rsidSect="00EA00CC">
          <w:footerReference w:type="first" r:id="rId14"/>
          <w:pgSz w:w="11906" w:h="16838" w:code="9"/>
          <w:pgMar w:top="1417" w:right="1417" w:bottom="1417" w:left="1417" w:header="720" w:footer="720" w:gutter="0"/>
          <w:cols w:space="720"/>
          <w:titlePg/>
          <w:docGrid w:linePitch="360"/>
        </w:sectPr>
      </w:pPr>
    </w:p>
    <w:p w14:paraId="42E129E1" w14:textId="77777777" w:rsidR="00695E2D" w:rsidRPr="001823ED" w:rsidRDefault="00973FB5" w:rsidP="009D21B5">
      <w:pPr>
        <w:widowControl w:val="0"/>
        <w:rPr>
          <w:rStyle w:val="Heading1Char"/>
          <w:rFonts w:eastAsia="Calibri"/>
          <w:lang w:val="en-GB"/>
        </w:rPr>
      </w:pPr>
      <w:bookmarkStart w:id="26" w:name="_Toc69722999"/>
      <w:r w:rsidRPr="001823ED">
        <w:rPr>
          <w:rStyle w:val="Heading1Char"/>
          <w:rFonts w:eastAsia="Calibri"/>
          <w:lang w:val="en-GB"/>
        </w:rPr>
        <w:lastRenderedPageBreak/>
        <w:t>Supplementary Table</w:t>
      </w:r>
      <w:r w:rsidR="00695E2D" w:rsidRPr="001823ED">
        <w:rPr>
          <w:rStyle w:val="Heading1Char"/>
          <w:rFonts w:eastAsia="Calibri"/>
          <w:lang w:val="en-GB"/>
        </w:rPr>
        <w:t>S</w:t>
      </w:r>
      <w:bookmarkEnd w:id="26"/>
      <w:r w:rsidRPr="001823ED">
        <w:rPr>
          <w:rStyle w:val="Heading1Char"/>
          <w:rFonts w:eastAsia="Calibri"/>
          <w:lang w:val="en-GB"/>
        </w:rPr>
        <w:t xml:space="preserve"> </w:t>
      </w:r>
    </w:p>
    <w:p w14:paraId="7C361687" w14:textId="67ECC3E3" w:rsidR="00411C71" w:rsidRPr="001823ED" w:rsidRDefault="00695E2D" w:rsidP="009D21B5">
      <w:pPr>
        <w:widowControl w:val="0"/>
        <w:rPr>
          <w:b/>
        </w:rPr>
      </w:pPr>
      <w:r w:rsidRPr="001823ED">
        <w:rPr>
          <w:rFonts w:eastAsia="Calibri"/>
          <w:b/>
        </w:rPr>
        <w:t>Tab</w:t>
      </w:r>
      <w:r w:rsidR="00710DC9" w:rsidRPr="001823ED">
        <w:rPr>
          <w:rFonts w:eastAsia="Calibri"/>
          <w:b/>
        </w:rPr>
        <w:t xml:space="preserve">le </w:t>
      </w:r>
      <w:r w:rsidR="00973FB5" w:rsidRPr="001823ED">
        <w:rPr>
          <w:rFonts w:eastAsia="Calibri"/>
          <w:b/>
        </w:rPr>
        <w:t>A1:</w:t>
      </w:r>
      <w:r w:rsidR="00973FB5" w:rsidRPr="001823ED">
        <w:rPr>
          <w:b/>
          <w:noProof/>
        </w:rPr>
        <w:t xml:space="preserve"> </w:t>
      </w:r>
      <w:r w:rsidR="00973FB5" w:rsidRPr="001823ED">
        <w:rPr>
          <w:b/>
        </w:rPr>
        <w:t>Previous studies using vaginal microbiome sequencing to assess the associations between VMB composition and PTB</w:t>
      </w:r>
    </w:p>
    <w:p w14:paraId="0123C39D" w14:textId="77777777" w:rsidR="00A35045" w:rsidRPr="001823ED" w:rsidRDefault="00A35045" w:rsidP="009D21B5">
      <w:pPr>
        <w:widowControl w:val="0"/>
        <w:rPr>
          <w:b/>
          <w:noProof/>
        </w:rPr>
      </w:pPr>
    </w:p>
    <w:p w14:paraId="0B961C2F" w14:textId="77777777" w:rsidR="00973FB5" w:rsidRPr="001823ED" w:rsidRDefault="00973FB5" w:rsidP="009D21B5">
      <w:pPr>
        <w:widowControl w:val="0"/>
        <w:rPr>
          <w:b/>
          <w:noProof/>
          <w:sz w:val="4"/>
          <w:szCs w:val="4"/>
        </w:rPr>
      </w:pPr>
    </w:p>
    <w:tbl>
      <w:tblPr>
        <w:tblpPr w:leftFromText="180" w:rightFromText="180" w:vertAnchor="text" w:tblpY="1"/>
        <w:tblOverlap w:val="never"/>
        <w:tblW w:w="14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3264"/>
        <w:gridCol w:w="808"/>
        <w:gridCol w:w="809"/>
        <w:gridCol w:w="809"/>
        <w:gridCol w:w="809"/>
        <w:gridCol w:w="809"/>
        <w:gridCol w:w="809"/>
        <w:gridCol w:w="809"/>
        <w:gridCol w:w="809"/>
        <w:gridCol w:w="809"/>
        <w:gridCol w:w="809"/>
        <w:gridCol w:w="809"/>
        <w:gridCol w:w="809"/>
      </w:tblGrid>
      <w:tr w:rsidR="005F07B5" w:rsidRPr="001823ED" w14:paraId="6960E146" w14:textId="77777777" w:rsidTr="00981270">
        <w:trPr>
          <w:cantSplit/>
          <w:trHeight w:val="1129"/>
        </w:trPr>
        <w:tc>
          <w:tcPr>
            <w:tcW w:w="4392" w:type="dxa"/>
            <w:gridSpan w:val="2"/>
            <w:shd w:val="clear" w:color="auto" w:fill="auto"/>
            <w:vAlign w:val="center"/>
          </w:tcPr>
          <w:p w14:paraId="420B3E31" w14:textId="1F84440D" w:rsidR="00411C71" w:rsidRPr="001823ED" w:rsidRDefault="00973FB5" w:rsidP="00981270">
            <w:pPr>
              <w:widowControl w:val="0"/>
              <w:ind w:left="113" w:firstLine="360"/>
              <w:jc w:val="center"/>
              <w:rPr>
                <w:b/>
                <w:bCs/>
              </w:rPr>
            </w:pPr>
            <w:r w:rsidRPr="001823ED">
              <w:rPr>
                <w:b/>
                <w:bCs/>
              </w:rPr>
              <w:t>Part 1: Study Characteristics</w:t>
            </w:r>
          </w:p>
        </w:tc>
        <w:tc>
          <w:tcPr>
            <w:tcW w:w="808" w:type="dxa"/>
            <w:shd w:val="clear" w:color="auto" w:fill="auto"/>
            <w:textDirection w:val="btLr"/>
            <w:vAlign w:val="center"/>
          </w:tcPr>
          <w:p w14:paraId="2D109A19" w14:textId="77777777" w:rsidR="00A21533" w:rsidRPr="001823ED" w:rsidRDefault="00411C71" w:rsidP="00981270">
            <w:pPr>
              <w:widowControl w:val="0"/>
              <w:ind w:left="113" w:hanging="84"/>
              <w:rPr>
                <w:sz w:val="18"/>
                <w:szCs w:val="18"/>
              </w:rPr>
            </w:pPr>
            <w:r w:rsidRPr="001823ED">
              <w:rPr>
                <w:sz w:val="18"/>
                <w:szCs w:val="18"/>
              </w:rPr>
              <w:t xml:space="preserve">Romero </w:t>
            </w:r>
          </w:p>
          <w:p w14:paraId="445DAF19" w14:textId="09C18FDC" w:rsidR="00411C71" w:rsidRPr="001823ED" w:rsidRDefault="00411C71" w:rsidP="00981270">
            <w:pPr>
              <w:widowControl w:val="0"/>
              <w:ind w:left="113" w:hanging="84"/>
              <w:rPr>
                <w:sz w:val="18"/>
                <w:szCs w:val="18"/>
              </w:rPr>
            </w:pPr>
            <w:r w:rsidRPr="001823ED">
              <w:rPr>
                <w:sz w:val="18"/>
                <w:szCs w:val="18"/>
              </w:rPr>
              <w:t>2014</w:t>
            </w:r>
            <w:r w:rsidR="007A2151" w:rsidRPr="001823ED">
              <w:rPr>
                <w:sz w:val="18"/>
                <w:szCs w:val="18"/>
              </w:rPr>
              <w:fldChar w:fldCharType="begin" w:fldLock="1"/>
            </w:r>
            <w:r w:rsidR="0057070F">
              <w:rPr>
                <w:sz w:val="18"/>
                <w:szCs w:val="18"/>
              </w:rPr>
              <w:instrText>ADDIN CSL_CITATION {"citationItems":[{"id":"ITEM-1","itemData":{"DOI":"10.1186/2049-2618-2-18","ISSN":"2049-2618","abstract":"This study was undertaken to determine whether the vaginal microbiota of pregnant women who subsequently had a spontaneous preterm delivery is different from that of women who had a term delivery. This was a nested case–control study of pregnant women who had a term delivery (controls) and those who had a spontaneous preterm delivery before 34 weeks of gestation (cases). Samples of vaginal fluid were collected longitudinally and stored at −70°C until assayed. A microbial survey using pyrosequencing of V1-V3 regions of 16S rRNA genes was performed. We tested the hypothesis of whether the relative abundance of individual microbial species (phylotypes) was different between women who had a term versus preterm delivery. A suite of bioinformatic and statistical tools, including linear mixed effects models and generalized estimating equations, was used. We show that: 1) the composition of the vaginal microbiota during normal pregnancy changed as a function of gestational age, with an increase in the relative abundance of four Lactobacillus spp., and decreased in anaerobe or strict-anaerobe microbial species as pregnancy progressed; 2) no bacterial taxa differed in relative abundance between women who had a spontaneous preterm delivery and those who delivered at term; and 3) no differences in the frequency of the vaginal community state types (CST I, III, IV-B) between women who delivered at term and those who delivered preterm were detected. The bacterial taxa composition and abundance of vaginal microbial communities, characterized with 16S rRNA gene sequence-based techniques, were not different in pregnant women who subsequently delivered a preterm neonate versus those who delivered at term.","author":[{"dropping-particle":"","family":"Romero","given":"Roberto","non-dropping-particle":"","parse-names":false,"suffix":""},{"dropping-particle":"","family":"Hassan","given":"Sonia S","non-dropping-particle":"","parse-names":false,"suffix":""},{"dropping-particle":"","family":"Gajer","given":"Pawel","non-dropping-particle":"","parse-names":false,"suffix":""},{"dropping-particle":"","family":"Tarca","given":"Adi L","non-dropping-particle":"","parse-names":false,"suffix":""},{"dropping-particle":"","family":"Fadrosh","given":"Douglas W","non-dropping-particle":"","parse-names":false,"suffix":""},{"dropping-particle":"","family":"Bieda","given":"Janine","non-dropping-particle":"","parse-names":false,"suffix":""},{"dropping-particle":"","family":"Chaemsaithong","given":"Piya","non-dropping-particle":"","parse-names":false,"suffix":""},{"dropping-particle":"","family":"Miranda","given":"Jezid","non-dropping-particle":"","parse-names":false,"suffix":""},{"dropping-particle":"","family":"Chaiworapongsa","given":"Tinnakorn","non-dropping-particle":"","parse-names":false,"suffix":""},{"dropping-particle":"","family":"Ravel","given":"Jacques","non-dropping-particle":"","parse-names":false,"suffix":""}],"container-title":"Microbiome","id":"ITEM-1","issue":"1","issued":{"date-parts":[["2014","12","27"]]},"page":"18","publisher":"BioMed Central","title":"The vaginal microbiota of pregnant women who subsequently have spontaneous preterm labor and delivery and those with a normal delivery at term","type":"article-journal","volume":"2"},"uris":["http://www.mendeley.com/documents/?uuid=79396aab-69d2-354e-b41e-d15f4889959b"]}],"mendeley":{"formattedCitation":"&lt;sup&gt;22&lt;/sup&gt;","plainTextFormattedCitation":"22","previouslyFormattedCitation":"&lt;sup&gt;22&lt;/sup&gt;"},"properties":{"noteIndex":0},"schema":"https://github.com/citation-style-language/schema/raw/master/csl-citation.json"}</w:instrText>
            </w:r>
            <w:r w:rsidR="007A2151" w:rsidRPr="001823ED">
              <w:rPr>
                <w:sz w:val="18"/>
                <w:szCs w:val="18"/>
              </w:rPr>
              <w:fldChar w:fldCharType="separate"/>
            </w:r>
            <w:r w:rsidR="00F518EA" w:rsidRPr="00F518EA">
              <w:rPr>
                <w:noProof/>
                <w:sz w:val="18"/>
                <w:szCs w:val="18"/>
                <w:vertAlign w:val="superscript"/>
              </w:rPr>
              <w:t>22</w:t>
            </w:r>
            <w:r w:rsidR="007A2151" w:rsidRPr="001823ED">
              <w:rPr>
                <w:sz w:val="18"/>
                <w:szCs w:val="18"/>
              </w:rPr>
              <w:fldChar w:fldCharType="end"/>
            </w:r>
          </w:p>
        </w:tc>
        <w:tc>
          <w:tcPr>
            <w:tcW w:w="809" w:type="dxa"/>
            <w:shd w:val="clear" w:color="auto" w:fill="auto"/>
            <w:textDirection w:val="btLr"/>
            <w:vAlign w:val="center"/>
          </w:tcPr>
          <w:p w14:paraId="54684D1A" w14:textId="77777777" w:rsidR="00A21533" w:rsidRPr="001823ED" w:rsidRDefault="00411C71" w:rsidP="00981270">
            <w:pPr>
              <w:widowControl w:val="0"/>
              <w:ind w:left="113" w:hanging="113"/>
              <w:rPr>
                <w:sz w:val="18"/>
                <w:szCs w:val="18"/>
              </w:rPr>
            </w:pPr>
            <w:proofErr w:type="spellStart"/>
            <w:r w:rsidRPr="001823ED">
              <w:rPr>
                <w:sz w:val="18"/>
                <w:szCs w:val="18"/>
              </w:rPr>
              <w:t>DiGiulio</w:t>
            </w:r>
            <w:proofErr w:type="spellEnd"/>
            <w:r w:rsidRPr="001823ED">
              <w:rPr>
                <w:sz w:val="18"/>
                <w:szCs w:val="18"/>
              </w:rPr>
              <w:t xml:space="preserve"> </w:t>
            </w:r>
          </w:p>
          <w:p w14:paraId="59132EFE" w14:textId="566807A2" w:rsidR="00411C71" w:rsidRPr="001823ED" w:rsidRDefault="00411C71" w:rsidP="00981270">
            <w:pPr>
              <w:widowControl w:val="0"/>
              <w:ind w:left="113" w:hanging="113"/>
              <w:rPr>
                <w:sz w:val="18"/>
                <w:szCs w:val="18"/>
              </w:rPr>
            </w:pPr>
            <w:r w:rsidRPr="001823ED">
              <w:rPr>
                <w:sz w:val="18"/>
                <w:szCs w:val="18"/>
              </w:rPr>
              <w:t>2015</w:t>
            </w:r>
            <w:r w:rsidR="00120D93" w:rsidRPr="001823ED">
              <w:rPr>
                <w:noProof/>
                <w:sz w:val="18"/>
                <w:szCs w:val="18"/>
                <w:vertAlign w:val="superscript"/>
              </w:rPr>
              <w:fldChar w:fldCharType="begin" w:fldLock="1"/>
            </w:r>
            <w:r w:rsidR="0057070F">
              <w:rPr>
                <w:noProof/>
                <w:sz w:val="18"/>
                <w:szCs w:val="18"/>
                <w:vertAlign w:val="superscript"/>
              </w:rPr>
              <w:instrText>ADDIN CSL_CITATION {"citationItems":[{"id":"ITEM-1","itemData":{"DOI":"10.1073/pnas.1502875112","ISSN":"10916490","abstract":"Despite the critical role of the human microbiota in health, our understanding of microbiota compositional dynamics during and after pregnancy is incomplete. We conducted a case-control study of 49 pregnant women, 15 of whom delivered preterm. From 40 of these women, we analyzed bacterial taxonomic composition of 3,767 specimens collected prospectively and weekly during gestation and monthly after delivery from the vagina, distal gut, saliva, and tooth/gum. Linear mixed-effects modeling, medoid-based clustering, and Markov chain modeling were used to analyze community temporal trends, community structure, and vaginal community state transitions. Microbiota community taxonomic composition and diversity remained remarkably stable at all four body sites during pregnancy (P &gt; 0.05 for trends over time). Prevalence of a Lactobacillus-poor vaginal community state type (CST 4) was inversely correlated with gestational age at delivery (P = 0.0039). Risk for preterm birth was more pronounced for subjects with CST 4 accompanied by elevated Gardnerella or Ureaplasma abundances. This finding was validated with a set of 246 vaginal specimens from nine women (four of whom delivered preterm). Most women experienced a postdelivery disturbance in the vaginal community characterized by a decrease in Lactobacillus species and an increase in diverse anaerobes such as Peptoniphilus, Prevotella, and Anaerococcus species. This disturbance was unrelated to gestational age at delivery and persisted for up to 1 y. These findings have important implications for predicting premature labor, a major global health problem, and for understanding the potential impact of a persistent, altered postpartum microbiota on maternal health, including outcomes of pregnancies following short interpregnancy intervals.","author":[{"dropping-particle":"","family":"DiGiulio","given":"Daniel B.","non-dropping-particle":"","parse-names":false,"suffix":""},{"dropping-particle":"","family":"Callahan","given":"Benjamin J.","non-dropping-particle":"","parse-names":false,"suffix":""},{"dropping-particle":"","family":"McMurdie","given":"Paul J.","non-dropping-particle":"","parse-names":false,"suffix":""},{"dropping-particle":"","family":"Costello","given":"Elizabeth K.","non-dropping-particle":"","parse-names":false,"suffix":""},{"dropping-particle":"","family":"Lyell","given":"Deirdre J.","non-dropping-particle":"","parse-names":false,"suffix":""},{"dropping-particle":"","family":"Robaczewska","given":"Anna","non-dropping-particle":"","parse-names":false,"suffix":""},{"dropping-particle":"","family":"Sun","given":"Christine L.","non-dropping-particle":"","parse-names":false,"suffix":""},{"dropping-particle":"","family":"Goltsman","given":"Daniela S.A.","non-dropping-particle":"","parse-names":false,"suffix":""},{"dropping-particle":"","family":"Wong","given":"Ronald J.","non-dropping-particle":"","parse-names":false,"suffix":""},{"dropping-particle":"","family":"Shawa","given":"Gary","non-dropping-particle":"","parse-names":false,"suffix":""},{"dropping-particle":"","family":"Stevenson","given":"David K.","non-dropping-particle":"","parse-names":false,"suffix":""},{"dropping-particle":"","family":"Holmes","given":"Susan P.","non-dropping-particle":"","parse-names":false,"suffix":""},{"dropping-particle":"","family":"Relman","given":"David A.","non-dropping-particle":"","parse-names":false,"suffix":""}],"container-title":"Proceedings of the National Academy of Sciences of the United States of America","id":"ITEM-1","issue":"35","issued":{"date-parts":[["2015"]]},"page":"11060-11065","title":"Temporal and spatial variation of the human microbiota during pregnancy","type":"article-journal","volume":"112"},"uris":["http://www.mendeley.com/documents/?uuid=90098403-a193-4b03-9fbc-f069e90e1bf0"]}],"mendeley":{"formattedCitation":"&lt;sup&gt;23&lt;/sup&gt;","plainTextFormattedCitation":"23","previouslyFormattedCitation":"&lt;sup&gt;23&lt;/sup&gt;"},"properties":{"noteIndex":0},"schema":"https://github.com/citation-style-language/schema/raw/master/csl-citation.json"}</w:instrText>
            </w:r>
            <w:r w:rsidR="00120D93" w:rsidRPr="001823ED">
              <w:rPr>
                <w:noProof/>
                <w:sz w:val="18"/>
                <w:szCs w:val="18"/>
                <w:vertAlign w:val="superscript"/>
              </w:rPr>
              <w:fldChar w:fldCharType="separate"/>
            </w:r>
            <w:r w:rsidR="00F518EA" w:rsidRPr="00F518EA">
              <w:rPr>
                <w:noProof/>
                <w:sz w:val="18"/>
                <w:szCs w:val="18"/>
                <w:vertAlign w:val="superscript"/>
              </w:rPr>
              <w:t>23</w:t>
            </w:r>
            <w:r w:rsidR="00120D93" w:rsidRPr="001823ED">
              <w:rPr>
                <w:noProof/>
                <w:sz w:val="18"/>
                <w:szCs w:val="18"/>
                <w:vertAlign w:val="superscript"/>
              </w:rPr>
              <w:fldChar w:fldCharType="end"/>
            </w:r>
          </w:p>
        </w:tc>
        <w:tc>
          <w:tcPr>
            <w:tcW w:w="809" w:type="dxa"/>
            <w:shd w:val="clear" w:color="auto" w:fill="auto"/>
            <w:textDirection w:val="btLr"/>
            <w:vAlign w:val="center"/>
          </w:tcPr>
          <w:p w14:paraId="6804EC05" w14:textId="77777777" w:rsidR="00A21533" w:rsidRPr="001823ED" w:rsidRDefault="00A21533" w:rsidP="00981270">
            <w:pPr>
              <w:widowControl w:val="0"/>
              <w:ind w:left="113" w:hanging="113"/>
              <w:rPr>
                <w:sz w:val="18"/>
                <w:szCs w:val="18"/>
              </w:rPr>
            </w:pPr>
            <w:proofErr w:type="spellStart"/>
            <w:r w:rsidRPr="001823ED">
              <w:rPr>
                <w:sz w:val="18"/>
                <w:szCs w:val="18"/>
              </w:rPr>
              <w:t>Subramania</w:t>
            </w:r>
            <w:proofErr w:type="spellEnd"/>
          </w:p>
          <w:p w14:paraId="4FFEA91A" w14:textId="1346B8D8" w:rsidR="00411C71" w:rsidRPr="001823ED" w:rsidRDefault="00411C71" w:rsidP="00981270">
            <w:pPr>
              <w:widowControl w:val="0"/>
              <w:ind w:left="113" w:hanging="113"/>
              <w:rPr>
                <w:sz w:val="18"/>
                <w:szCs w:val="18"/>
              </w:rPr>
            </w:pPr>
            <w:r w:rsidRPr="001823ED">
              <w:rPr>
                <w:sz w:val="18"/>
                <w:szCs w:val="18"/>
              </w:rPr>
              <w:t>2016</w:t>
            </w:r>
            <w:r w:rsidR="00FA47AE" w:rsidRPr="001823ED">
              <w:rPr>
                <w:sz w:val="18"/>
                <w:szCs w:val="18"/>
              </w:rPr>
              <w:fldChar w:fldCharType="begin" w:fldLock="1"/>
            </w:r>
            <w:r w:rsidR="0057070F">
              <w:rPr>
                <w:sz w:val="18"/>
                <w:szCs w:val="18"/>
              </w:rPr>
              <w:instrText>ADDIN CSL_CITATION {"citationItems":[{"id":"ITEM-1","itemData":{"DOI":"10.1055/s-0035-1565919","ISSN":"10988785","abstract":"OBJECTIVE This study aims to evaluate vaginal microbiota differences by bacterial vaginosis (BV), birth timing, and race, and to estimate parameters to power future vaginal microbiome studies. METHODS Previously, vaginal swabs were collected at 21 to 25 weeks (stored at -80°C), and vaginal smears evaluated for BV (Nugent criteria). In a blinded fashion, 40 samples were selected, creating 8 equal-sized groups stratified by race (black/white), BV (present/absent), and birth timing (preterm/term). Samples were thawed, DNA extracted, and prepared. Polymerase chain reaction (PCR) with primers targeting the 16S rDNA V4 region was used to prepare an amplicon library. PCR products were sequenced and analyzed using quantitative insight into microbial ecology; taxonomy was assigned using ribosomal database program classifier (threshold 0.8) against the modified Greengenes database. RESULTS After quality control, 97,720 sequences (mean) per sample, single-end 250 base-reads, were analyzed. BV samples had greater microbiota diversity (p &lt; 0.05)-with BVAB1, Prevotella, and unclassified genus, Bifidobacteriaceae family (all p &lt; 0.001) more abundant; there was minimal content of Gardnerella or Mobiluncus. Microbiota did not differ by race or birth timing, but there was an association between certain microbial clusters and preterm birth (p = 0.07). To evaluate this difference, 159 patients per group are needed. CONCLUSIONS There are differences in the vaginal microbiota between patients with and without BV. Larger studies should assess the relationship between microbiota composition and preterm birth.","author":[{"dropping-particle":"","family":"Subramaniam","given":"Akila","non-dropping-particle":"","parse-names":false,"suffix":""},{"dropping-particle":"","family":"Kumar","given":"Ranjit","non-dropping-particle":"","parse-names":false,"suffix":""},{"dropping-particle":"","family":"Cliver","given":"Suzanne P.","non-dropping-particle":"","parse-names":false,"suffix":""},{"dropping-particle":"","family":"Zhi","given":"Degui","non-dropping-particle":"","parse-names":false,"suffix":""},{"dropping-particle":"","family":"Szychowski","given":"Jeff M.","non-dropping-particle":"","parse-names":false,"suffix":""},{"dropping-particle":"","family":"Abramovici","given":"Adi","non-dropping-particle":"","parse-names":false,"suffix":""},{"dropping-particle":"","family":"Biggio","given":"Joseph R.","non-dropping-particle":"","parse-names":false,"suffix":""},{"dropping-particle":"","family":"Lefkowitz","given":"Elliot J.","non-dropping-particle":"","parse-names":false,"suffix":""},{"dropping-particle":"","family":"Morrow","given":"Casey","non-dropping-particle":"","parse-names":false,"suffix":""},{"dropping-particle":"","family":"Edwards","given":"Rodney K.","non-dropping-particle":"","parse-names":false,"suffix":""}],"container-title":"American Journal of Perinatology","id":"ITEM-1","issue":"4","issued":{"date-parts":[["2016"]]},"title":"Vaginal Microbiota in Pregnancy: Evaluation Based on Vaginal Flora, Birth Outcome, and Race","type":"article-journal","volume":"33"},"uris":["http://www.mendeley.com/documents/?uuid=e5d41a8e-8161-303c-ac69-83a584cda06b"]}],"mendeley":{"formattedCitation":"&lt;sup&gt;24&lt;/sup&gt;","plainTextFormattedCitation":"24","previouslyFormattedCitation":"&lt;sup&gt;24&lt;/sup&gt;"},"properties":{"noteIndex":0},"schema":"https://github.com/citation-style-language/schema/raw/master/csl-citation.json"}</w:instrText>
            </w:r>
            <w:r w:rsidR="00FA47AE" w:rsidRPr="001823ED">
              <w:rPr>
                <w:sz w:val="18"/>
                <w:szCs w:val="18"/>
              </w:rPr>
              <w:fldChar w:fldCharType="separate"/>
            </w:r>
            <w:r w:rsidR="00F518EA" w:rsidRPr="00F518EA">
              <w:rPr>
                <w:noProof/>
                <w:sz w:val="18"/>
                <w:szCs w:val="18"/>
                <w:vertAlign w:val="superscript"/>
              </w:rPr>
              <w:t>24</w:t>
            </w:r>
            <w:r w:rsidR="00FA47AE" w:rsidRPr="001823ED">
              <w:rPr>
                <w:sz w:val="18"/>
                <w:szCs w:val="18"/>
              </w:rPr>
              <w:fldChar w:fldCharType="end"/>
            </w:r>
          </w:p>
        </w:tc>
        <w:tc>
          <w:tcPr>
            <w:tcW w:w="809" w:type="dxa"/>
            <w:shd w:val="clear" w:color="auto" w:fill="auto"/>
            <w:textDirection w:val="btLr"/>
            <w:vAlign w:val="center"/>
          </w:tcPr>
          <w:p w14:paraId="77AA3AAF" w14:textId="77777777" w:rsidR="00411C71" w:rsidRPr="001823ED" w:rsidRDefault="00411C71" w:rsidP="00981270">
            <w:pPr>
              <w:widowControl w:val="0"/>
              <w:ind w:left="113" w:hanging="98"/>
              <w:rPr>
                <w:sz w:val="18"/>
                <w:szCs w:val="18"/>
              </w:rPr>
            </w:pPr>
            <w:r w:rsidRPr="001823ED">
              <w:rPr>
                <w:sz w:val="18"/>
                <w:szCs w:val="18"/>
              </w:rPr>
              <w:t>Nelson</w:t>
            </w:r>
          </w:p>
          <w:p w14:paraId="589A4F86" w14:textId="4B86FACB" w:rsidR="00411C71" w:rsidRPr="001823ED" w:rsidRDefault="00411C71" w:rsidP="00981270">
            <w:pPr>
              <w:widowControl w:val="0"/>
              <w:ind w:left="113" w:hanging="98"/>
              <w:rPr>
                <w:sz w:val="18"/>
                <w:szCs w:val="18"/>
              </w:rPr>
            </w:pPr>
            <w:r w:rsidRPr="001823ED">
              <w:rPr>
                <w:sz w:val="18"/>
                <w:szCs w:val="18"/>
              </w:rPr>
              <w:t>2016</w:t>
            </w:r>
            <w:r w:rsidR="00AD573F" w:rsidRPr="001823ED">
              <w:rPr>
                <w:sz w:val="18"/>
                <w:szCs w:val="18"/>
              </w:rPr>
              <w:fldChar w:fldCharType="begin" w:fldLock="1"/>
            </w:r>
            <w:r w:rsidR="00981270">
              <w:rPr>
                <w:sz w:val="18"/>
                <w:szCs w:val="18"/>
              </w:rPr>
              <w:instrText>ADDIN CSL_CITATION {"citationItems":[{"id":"ITEM-1","itemData":{"DOI":"10.1055/s-0036-1581057","ISSN":"1098-8785 (Electronic)","PMID":"27057772","abstract":"Introduction Early markers to identify pregnant women at high risk for spontaneous preterm birth (SPTB) have not been established and preventive options are limited. Recent attention has focused on examining the importance of characterizing the vaginal microbiome to predict SPTB. Results We examined the diversity and structure of the vaginal microbiome in nulliparous African American women during early pregnancy and compared 13 women who delivered preterm and 27 women who delivered at term. Samples were taken at one of two points in gestation, before 16 weeks or between 20 and 24 weeks. Among women who delivered preterm, we found lower bacterial diversity with lower abundance of Coriobacteriaceae, Sneathia, Prevotella, and Aerococcus compared with women delivering at term (linear discriminant analysis score &gt; 3.0). The Shannon diversity index was not significantly different between the groups (p-value = 0.239). Phylogenetic diversity and Chao1 suggested a lower diversity in the vaginal microbiota of women who delivered preterm compared with term, but these findings were not significantly different (p = 0.077 and p = 0.066, respectively). Conclusion These data suggest that the vaginal microbiome of women delivering preterm had lower diversity than women delivering after 37 weeks, although these findings need to be explored in a larger sample of nulliparous African American women.","author":[{"dropping-particle":"","family":"Nelson","given":"Deborah B","non-dropping-particle":"","parse-names":false,"suffix":""},{"dropping-particle":"","family":"Shin","given":"Hakdong","non-dropping-particle":"","parse-names":false,"suffix":""},{"dropping-particle":"","family":"Wu","given":"Jingwei","non-dropping-particle":"","parse-names":false,"suffix":""},{"dropping-particle":"","family":"Dominguez-Bello","given":"Maria G","non-dropping-particle":"","parse-names":false,"suffix":""}],"container-title":"American journal of perinatology","id":"ITEM-1","issue":"9","issued":{"date-parts":[["2016","7"]]},"language":"eng","page":"887-893","publisher-place":"United States","title":".The Gestational Vaginal Microbiome and Spontaneous Preterm Birth among Nulliparous African American Women","type":"article-journal","volume":"33"},"uris":["http://www.mendeley.com/documents/?uuid=a5c3885b-bc57-45d8-8a23-b1958553551e"]}],"mendeley":{"formattedCitation":"&lt;sup&gt;25&lt;/sup&gt;","plainTextFormattedCitation":"25","previouslyFormattedCitation":"&lt;sup&gt;25&lt;/sup&gt;"},"properties":{"noteIndex":0},"schema":"https://github.com/citation-style-language/schema/raw/master/csl-citation.json"}</w:instrText>
            </w:r>
            <w:r w:rsidR="00AD573F" w:rsidRPr="001823ED">
              <w:rPr>
                <w:sz w:val="18"/>
                <w:szCs w:val="18"/>
              </w:rPr>
              <w:fldChar w:fldCharType="separate"/>
            </w:r>
            <w:r w:rsidR="00F518EA" w:rsidRPr="00F518EA">
              <w:rPr>
                <w:noProof/>
                <w:sz w:val="18"/>
                <w:szCs w:val="18"/>
                <w:vertAlign w:val="superscript"/>
              </w:rPr>
              <w:t>25</w:t>
            </w:r>
            <w:r w:rsidR="00AD573F" w:rsidRPr="001823ED">
              <w:rPr>
                <w:sz w:val="18"/>
                <w:szCs w:val="18"/>
              </w:rPr>
              <w:fldChar w:fldCharType="end"/>
            </w:r>
          </w:p>
        </w:tc>
        <w:tc>
          <w:tcPr>
            <w:tcW w:w="809" w:type="dxa"/>
            <w:shd w:val="clear" w:color="auto" w:fill="auto"/>
            <w:textDirection w:val="btLr"/>
            <w:vAlign w:val="center"/>
          </w:tcPr>
          <w:p w14:paraId="335A0720" w14:textId="77777777" w:rsidR="00A21533" w:rsidRPr="001823ED" w:rsidRDefault="00A21533" w:rsidP="00981270">
            <w:pPr>
              <w:widowControl w:val="0"/>
              <w:ind w:left="113" w:hanging="113"/>
              <w:rPr>
                <w:sz w:val="18"/>
                <w:szCs w:val="18"/>
              </w:rPr>
            </w:pPr>
            <w:proofErr w:type="spellStart"/>
            <w:r w:rsidRPr="001823ED">
              <w:rPr>
                <w:sz w:val="18"/>
                <w:szCs w:val="18"/>
              </w:rPr>
              <w:t>Kindinger</w:t>
            </w:r>
            <w:proofErr w:type="spellEnd"/>
          </w:p>
          <w:p w14:paraId="32E99C93" w14:textId="24F8C44B" w:rsidR="00411C71" w:rsidRPr="001823ED" w:rsidRDefault="00411C71" w:rsidP="00981270">
            <w:pPr>
              <w:widowControl w:val="0"/>
              <w:ind w:left="113" w:hanging="113"/>
              <w:rPr>
                <w:sz w:val="18"/>
                <w:szCs w:val="18"/>
              </w:rPr>
            </w:pPr>
            <w:r w:rsidRPr="001823ED">
              <w:rPr>
                <w:sz w:val="18"/>
                <w:szCs w:val="18"/>
              </w:rPr>
              <w:t>2017</w:t>
            </w:r>
            <w:r w:rsidR="002A5049" w:rsidRPr="001823ED">
              <w:rPr>
                <w:sz w:val="18"/>
                <w:szCs w:val="18"/>
              </w:rPr>
              <w:fldChar w:fldCharType="begin" w:fldLock="1"/>
            </w:r>
            <w:r w:rsidR="0057070F">
              <w:rPr>
                <w:sz w:val="18"/>
                <w:szCs w:val="18"/>
              </w:rPr>
              <w:instrText>ADDIN CSL_CITATION {"citationItems":[{"id":"ITEM-1","itemData":{"DOI":"10.1186/s40168-016-0223-9","ISSN":"20492618","abstract":"Preterm birth is the primary cause of infant death worldwide. A short cervix in the second trimester of pregnancy is a risk factor for preterm birth. In specific patient cohorts, vaginal progesterone reduces this risk. Using 16S rRNA gene sequencing, we undertook a prospective study in women at risk of preterm birth (n = 161) to assess (1) the relationship between vaginal microbiota and cervical length in the second trimester and preterm birth risk and (2) the impact of vaginal progesterone on vaginal bacterial communities in women with a short cervix.","author":[{"dropping-particle":"","family":"Kindinger","given":"Lindsay M.","non-dropping-particle":"","parse-names":false,"suffix":""},{"dropping-particle":"","family":"Bennett","given":"Phillip R.","non-dropping-particle":"","parse-names":false,"suffix":""},{"dropping-particle":"","family":"Lee","given":"Yun S.","non-dropping-particle":"","parse-names":false,"suffix":""},{"dropping-particle":"","family":"Marchesi","given":"Julian R.","non-dropping-particle":"","parse-names":false,"suffix":""},{"dropping-particle":"","family":"Smith","given":"Ann","non-dropping-particle":"","parse-names":false,"suffix":""},{"dropping-particle":"","family":"Cacciatore","given":"Stefano","non-dropping-particle":"","parse-names":false,"suffix":""},{"dropping-particle":"","family":"Holmes","given":"Elaine","non-dropping-particle":"","parse-names":false,"suffix":""},{"dropping-particle":"","family":"Nicholson","given":"Jeremy K.","non-dropping-particle":"","parse-names":false,"suffix":""},{"dropping-particle":"","family":"Teoh","given":"T. G.","non-dropping-particle":"","parse-names":false,"suffix":""},{"dropping-particle":"","family":"MacIntyre","given":"David A.","non-dropping-particle":"","parse-names":false,"suffix":""}],"container-title":"Microbiome","id":"ITEM-1","issue":"1","issued":{"date-parts":[["2017"]]},"page":"1-14","publisher":"Microbiome","title":"The interaction between vaginal microbiota, cervical length, and vaginal progesterone treatment for preterm birth risk","type":"article-journal","volume":"5"},"uris":["http://www.mendeley.com/documents/?uuid=027b47f9-6554-4f20-928a-771e55ef4d24"]}],"mendeley":{"formattedCitation":"&lt;sup&gt;26&lt;/sup&gt;","plainTextFormattedCitation":"26","previouslyFormattedCitation":"&lt;sup&gt;26&lt;/sup&gt;"},"properties":{"noteIndex":0},"schema":"https://github.com/citation-style-language/schema/raw/master/csl-citation.json"}</w:instrText>
            </w:r>
            <w:r w:rsidR="002A5049" w:rsidRPr="001823ED">
              <w:rPr>
                <w:sz w:val="18"/>
                <w:szCs w:val="18"/>
              </w:rPr>
              <w:fldChar w:fldCharType="separate"/>
            </w:r>
            <w:r w:rsidR="00F518EA" w:rsidRPr="00F518EA">
              <w:rPr>
                <w:noProof/>
                <w:sz w:val="18"/>
                <w:szCs w:val="18"/>
                <w:vertAlign w:val="superscript"/>
              </w:rPr>
              <w:t>26</w:t>
            </w:r>
            <w:r w:rsidR="002A5049" w:rsidRPr="001823ED">
              <w:rPr>
                <w:sz w:val="18"/>
                <w:szCs w:val="18"/>
              </w:rPr>
              <w:fldChar w:fldCharType="end"/>
            </w:r>
          </w:p>
        </w:tc>
        <w:tc>
          <w:tcPr>
            <w:tcW w:w="809" w:type="dxa"/>
            <w:shd w:val="clear" w:color="auto" w:fill="auto"/>
            <w:textDirection w:val="btLr"/>
            <w:vAlign w:val="center"/>
          </w:tcPr>
          <w:p w14:paraId="122D3114" w14:textId="77777777" w:rsidR="00A21533" w:rsidRPr="001823ED" w:rsidRDefault="00A21533" w:rsidP="00981270">
            <w:pPr>
              <w:widowControl w:val="0"/>
              <w:ind w:left="113" w:hanging="113"/>
              <w:rPr>
                <w:sz w:val="18"/>
                <w:szCs w:val="18"/>
              </w:rPr>
            </w:pPr>
            <w:r w:rsidRPr="001823ED">
              <w:rPr>
                <w:sz w:val="18"/>
                <w:szCs w:val="18"/>
              </w:rPr>
              <w:t>Callahan</w:t>
            </w:r>
          </w:p>
          <w:p w14:paraId="47288586" w14:textId="3EB97FDB" w:rsidR="00411C71" w:rsidRPr="001823ED" w:rsidRDefault="00411C71" w:rsidP="00981270">
            <w:pPr>
              <w:widowControl w:val="0"/>
              <w:ind w:left="113" w:hanging="113"/>
              <w:rPr>
                <w:sz w:val="18"/>
                <w:szCs w:val="18"/>
              </w:rPr>
            </w:pPr>
            <w:r w:rsidRPr="001823ED">
              <w:rPr>
                <w:sz w:val="18"/>
                <w:szCs w:val="18"/>
              </w:rPr>
              <w:t>2017</w:t>
            </w:r>
            <w:r w:rsidR="004A4CAB" w:rsidRPr="001823ED">
              <w:rPr>
                <w:sz w:val="18"/>
                <w:szCs w:val="18"/>
              </w:rPr>
              <w:fldChar w:fldCharType="begin" w:fldLock="1"/>
            </w:r>
            <w:r w:rsidR="0057070F">
              <w:rPr>
                <w:sz w:val="18"/>
                <w:szCs w:val="18"/>
              </w:rPr>
              <w:instrText>ADDIN CSL_CITATION {"citationItems":[{"id":"ITEM-1","itemData":{"DOI":"10.1073/pnas.1705899114","ISSN":"1091-6490","PMID":"28847941","abstract":"Preterm birth (PTB) is the leading cause of neonatal morbidity and mortality. Previous studies have suggested that the maternal vaginal microbiota contributes to the pathophysiology of PTB, but conflicting results in recent years have raised doubts. We conducted a study of PTB compared with term birth in two cohorts of pregnant women: one predominantly Caucasian (n = 39) at low risk for PTB, the second predominantly African American and at high-risk (n = 96). We profiled the taxonomic composition of 2,179 vaginal swabs collected prospectively and weekly during gestation using 16S rRNA gene sequencing. Previously proposed associations between PTB and lower Lactobacillus and higher Gardnerella abundances replicated in the low-risk cohort, but not in the high-risk cohort. High-resolution bioinformatics enabled taxonomic assignment to the species and subspecies levels, revealing that Lactobacillus crispatus was associated with low risk of PTB in both cohorts, while Lactobacillus iners was not, and that a subspecies clade of Gardnerella vaginalis explained the genus association with PTB. Patterns of cooccurrence between L. crispatus and Gardnerella were highly exclusive, while Gardnerella and L. iners often coexisted at high frequencies. We argue that the vaginal microbiota is better represented by the quantitative frequencies of these key taxa than by classifying communities into five community state types. Our findings extend and corroborate the association between the vaginal microbiota and PTB, demonstrate the benefits of high-resolution statistical bioinformatics in clinical microbiome studies, and suggest that previous conflicting results may reflect the different risk profile of women of black race.","author":[{"dropping-particle":"","family":"Callahan","given":"Benjamin J","non-dropping-particle":"","parse-names":false,"suffix":""},{"dropping-particle":"","family":"DiGiulio","given":"Daniel B","non-dropping-particle":"","parse-names":false,"suffix":""},{"dropping-particle":"","family":"Goltsman","given":"Daniela S Aliaga","non-dropping-particle":"","parse-names":false,"suffix":""},{"dropping-particle":"","family":"Sun","given":"Christine L","non-dropping-particle":"","parse-names":false,"suffix":""},{"dropping-particle":"","family":"Costello","given":"Elizabeth K","non-dropping-particle":"","parse-names":false,"suffix":""},{"dropping-particle":"","family":"Jeganathan","given":"Pratheepa","non-dropping-particle":"","parse-names":false,"suffix":""},{"dropping-particle":"","family":"Biggio","given":"Joseph R","non-dropping-particle":"","parse-names":false,"suffix":""},{"dropping-particle":"","family":"Wong","given":"Ronald J","non-dropping-particle":"","parse-names":false,"suffix":""},{"dropping-particle":"","family":"Druzin","given":"Maurice L","non-dropping-particle":"","parse-names":false,"suffix":""},{"dropping-particle":"","family":"Shaw","given":"Gary M","non-dropping-particle":"","parse-names":false,"suffix":""},{"dropping-particle":"","family":"Stevenson","given":"David K","non-dropping-particle":"","parse-names":false,"suffix":""},{"dropping-particle":"","family":"Holmes","given":"Susan P","non-dropping-particle":"","parse-names":false,"suffix":""},{"dropping-particle":"","family":"Relman","given":"David A","non-dropping-particle":"","parse-names":false,"suffix":""}],"container-title":"Proceedings of the National Academy of Sciences of the United States of America","id":"ITEM-1","issue":"37","issued":{"date-parts":[["2017"]]},"page":"9966-9971","title":"Replication and refinement of a vaginal microbial signature of preterm birth in two racially distinct cohorts of US women.","type":"article-journal","volume":"114"},"uris":["http://www.mendeley.com/documents/?uuid=f8204702-f114-48a7-b9eb-4f6c3cab2b0a"]}],"mendeley":{"formattedCitation":"&lt;sup&gt;27&lt;/sup&gt;","plainTextFormattedCitation":"27","previouslyFormattedCitation":"&lt;sup&gt;27&lt;/sup&gt;"},"properties":{"noteIndex":0},"schema":"https://github.com/citation-style-language/schema/raw/master/csl-citation.json"}</w:instrText>
            </w:r>
            <w:r w:rsidR="004A4CAB" w:rsidRPr="001823ED">
              <w:rPr>
                <w:sz w:val="18"/>
                <w:szCs w:val="18"/>
              </w:rPr>
              <w:fldChar w:fldCharType="separate"/>
            </w:r>
            <w:r w:rsidR="00F518EA" w:rsidRPr="00F518EA">
              <w:rPr>
                <w:noProof/>
                <w:sz w:val="18"/>
                <w:szCs w:val="18"/>
                <w:vertAlign w:val="superscript"/>
              </w:rPr>
              <w:t>27</w:t>
            </w:r>
            <w:r w:rsidR="004A4CAB" w:rsidRPr="001823ED">
              <w:rPr>
                <w:sz w:val="18"/>
                <w:szCs w:val="18"/>
              </w:rPr>
              <w:fldChar w:fldCharType="end"/>
            </w:r>
          </w:p>
        </w:tc>
        <w:tc>
          <w:tcPr>
            <w:tcW w:w="809" w:type="dxa"/>
            <w:shd w:val="clear" w:color="auto" w:fill="auto"/>
            <w:textDirection w:val="btLr"/>
            <w:vAlign w:val="center"/>
          </w:tcPr>
          <w:p w14:paraId="78974283" w14:textId="77777777" w:rsidR="00411C71" w:rsidRPr="001823ED" w:rsidRDefault="00411C71" w:rsidP="00981270">
            <w:pPr>
              <w:widowControl w:val="0"/>
              <w:ind w:left="113" w:hanging="113"/>
              <w:rPr>
                <w:sz w:val="18"/>
                <w:szCs w:val="18"/>
              </w:rPr>
            </w:pPr>
            <w:r w:rsidRPr="001823ED">
              <w:rPr>
                <w:sz w:val="18"/>
                <w:szCs w:val="18"/>
              </w:rPr>
              <w:t>Stout</w:t>
            </w:r>
          </w:p>
          <w:p w14:paraId="5DDF9DD0" w14:textId="603E0D94" w:rsidR="00411C71" w:rsidRPr="001823ED" w:rsidRDefault="00411C71" w:rsidP="00981270">
            <w:pPr>
              <w:widowControl w:val="0"/>
              <w:ind w:left="113" w:hanging="113"/>
              <w:rPr>
                <w:sz w:val="18"/>
                <w:szCs w:val="18"/>
              </w:rPr>
            </w:pPr>
            <w:r w:rsidRPr="001823ED">
              <w:rPr>
                <w:sz w:val="18"/>
                <w:szCs w:val="18"/>
              </w:rPr>
              <w:t>2017</w:t>
            </w:r>
            <w:r w:rsidR="004C263F" w:rsidRPr="001823ED">
              <w:rPr>
                <w:sz w:val="18"/>
                <w:szCs w:val="18"/>
              </w:rPr>
              <w:fldChar w:fldCharType="begin" w:fldLock="1"/>
            </w:r>
            <w:r w:rsidR="0057070F">
              <w:rPr>
                <w:sz w:val="18"/>
                <w:szCs w:val="18"/>
              </w:rPr>
              <w:instrText>ADDIN CSL_CITATION {"citationItems":[{"id":"ITEM-1","itemData":{"DOI":"10.1016/j.ajog.2017.05.030","ISSN":"10976868","abstract":"Background Despite decades of attempts to link infectious agents to preterm birth, an exact causative microbe or community of microbes remains elusive. Nonculture 16S ribosomal RNA gene sequencing suggests important racial differences and pregnancy specific changes in the vaginal microbial communities. A recent study examining the association of the vaginal microbiome and preterm birth documented important findings but was performed in a predominantly white cohort. Given the important racial differences in bacterial communities within the vagina as well as persistent racial disparities in preterm birth, it is important to examine cohorts with varied demographic compositions. Objective To characterize vaginal microbial community characteristics in a large, predominantly African-American, longitudinal cohort of pregnant women and test whether particular vaginal microbial community characteristics are associated with the risk for subsequent preterm birth. Study Design This is a nested case-control study within a prospective cohort study of women with singleton pregnancies, not on supplemental progesterone, and without cervical cerclage in situ. Serial mid-vaginal swabs were obtained by speculum exam at their routine prenatal visits. Sequencing of the V1V3 region of the 16S rRNA gene was performed on the Roche 454 platform. Alpha diversity community characteristics including richness, Shannon diversity, and evenness as well as beta diversity metrics including Bray Curtis Dissimilarity and specific taxon abundance were compared longitudinally in women who delivered preterm to those who delivered at term. Results A total of 77 subjects contributed 149 vaginal swabs longitudinally across pregnancy. Participants were predominantly African-American (69%) and had a preterm birth rate of 31%. In subjects with subsequent term delivery, the vaginal microbiome demonstrated stable community richness and Shannon diversity, whereas subjects with subsequent preterm delivery had significantly decreased vaginal richness, diversity, and evenness during pregnancy (P &lt;.01). This change occurred between the first and second trimesters. Within-subject comparisons across pregnancy showed that preterm birth is associated with increased vaginal microbiome instability compared to term birth. No distinct taxa were associated with preterm birth. Conclusion In a predominantly African-American population, a significant decrease of vaginal microbial community richness and diversity is a…","author":[{"dropping-particle":"","family":"Stout","given":"Molly J.","non-dropping-particle":"","parse-names":false,"suffix":""},{"dropping-particle":"","family":"Zhou","given":"Yanjiao","non-dropping-particle":"","parse-names":false,"suffix":""},{"dropping-particle":"","family":"Wylie","given":"Kristine M.","non-dropping-particle":"","parse-names":false,"suffix":""},{"dropping-particle":"","family":"Tarr","given":"Phillip I.","non-dropping-particle":"","parse-names":false,"suffix":""},{"dropping-particle":"","family":"Macones","given":"George A.","non-dropping-particle":"","parse-names":false,"suffix":""},{"dropping-particle":"","family":"Tuuli","given":"Methodius G.","non-dropping-particle":"","parse-names":false,"suffix":""}],"container-title":"American Journal of Obstetrics and Gynecology","id":"ITEM-1","issue":"3","issued":{"date-parts":[["2017"]]},"title":"Early pregnancy vaginal microbiome trends and preterm birth","type":"article-journal","volume":"217"},"uris":["http://www.mendeley.com/documents/?uuid=b8f48c35-642a-3374-9646-d0512f79db63"]}],"mendeley":{"formattedCitation":"&lt;sup&gt;28&lt;/sup&gt;","plainTextFormattedCitation":"28","previouslyFormattedCitation":"&lt;sup&gt;28&lt;/sup&gt;"},"properties":{"noteIndex":0},"schema":"https://github.com/citation-style-language/schema/raw/master/csl-citation.json"}</w:instrText>
            </w:r>
            <w:r w:rsidR="004C263F" w:rsidRPr="001823ED">
              <w:rPr>
                <w:sz w:val="18"/>
                <w:szCs w:val="18"/>
              </w:rPr>
              <w:fldChar w:fldCharType="separate"/>
            </w:r>
            <w:r w:rsidR="00F518EA" w:rsidRPr="00F518EA">
              <w:rPr>
                <w:noProof/>
                <w:sz w:val="18"/>
                <w:szCs w:val="18"/>
                <w:vertAlign w:val="superscript"/>
              </w:rPr>
              <w:t>28</w:t>
            </w:r>
            <w:r w:rsidR="004C263F" w:rsidRPr="001823ED">
              <w:rPr>
                <w:sz w:val="18"/>
                <w:szCs w:val="18"/>
              </w:rPr>
              <w:fldChar w:fldCharType="end"/>
            </w:r>
          </w:p>
        </w:tc>
        <w:tc>
          <w:tcPr>
            <w:tcW w:w="809" w:type="dxa"/>
            <w:shd w:val="clear" w:color="auto" w:fill="auto"/>
            <w:textDirection w:val="btLr"/>
            <w:vAlign w:val="center"/>
          </w:tcPr>
          <w:p w14:paraId="66B62913" w14:textId="77777777" w:rsidR="00411C71" w:rsidRPr="001823ED" w:rsidRDefault="00411C71" w:rsidP="00981270">
            <w:pPr>
              <w:widowControl w:val="0"/>
              <w:ind w:left="113" w:hanging="113"/>
              <w:rPr>
                <w:sz w:val="18"/>
                <w:szCs w:val="18"/>
              </w:rPr>
            </w:pPr>
            <w:r w:rsidRPr="001823ED">
              <w:rPr>
                <w:sz w:val="18"/>
                <w:szCs w:val="18"/>
              </w:rPr>
              <w:t>Freitas</w:t>
            </w:r>
          </w:p>
          <w:p w14:paraId="7552A90C" w14:textId="75D6D8C4" w:rsidR="00411C71" w:rsidRPr="001823ED" w:rsidRDefault="00411C71" w:rsidP="00981270">
            <w:pPr>
              <w:widowControl w:val="0"/>
              <w:ind w:left="113" w:hanging="113"/>
              <w:rPr>
                <w:sz w:val="18"/>
                <w:szCs w:val="18"/>
              </w:rPr>
            </w:pPr>
            <w:r w:rsidRPr="001823ED">
              <w:rPr>
                <w:sz w:val="18"/>
                <w:szCs w:val="18"/>
              </w:rPr>
              <w:t>2018</w:t>
            </w:r>
            <w:r w:rsidR="007068AE" w:rsidRPr="001823ED">
              <w:rPr>
                <w:sz w:val="18"/>
                <w:szCs w:val="18"/>
              </w:rPr>
              <w:fldChar w:fldCharType="begin" w:fldLock="1"/>
            </w:r>
            <w:r w:rsidR="00E07E09">
              <w:rPr>
                <w:sz w:val="18"/>
                <w:szCs w:val="18"/>
              </w:rPr>
              <w:instrText>ADDIN CSL_CITATION {"citationItems":[{"id":"ITEM-1","itemData":{"DOI":"10.1186/s40168-018-0502-8","ISSN":"20492618","abstract":"The bacterial community present in the female lower genital tract plays an important role in maternal and neonatal health. Imbalances in this microbiota have been associated with negative reproductive outcomes, such as spontaneous preterm birth (sPTB), but the mechanisms underlying the association between a disturbed microbiota and sPTB remain poorly understood. An intrauterine infection ascending from the vagina is thought to be an important contributor to the onset of preterm labour. Our objective was to characterize the vaginal microbiota of pregnant women who had sPTB (n = 46) and compare to those of pregnant women who delivered at term (n = 170). Vaginal swabs were collected from women at 11–16 weeks of gestational age. Microbiota profiles were created by PCR amplification and pyrosequencing of the cpn60 universal target region. Profiles clustered into seven community state types: I (Lactobacillus crispatus dominated), II (Lactobacillus gasseri dominated), III (Lactobacillus iners dominated), IVA (Gardnerella vaginalis subgroup B or mix of species), IVC (G. vaginalis subgroup A dominated), IVD (G. vaginalis subgroup C dominated) and V (Lactobacillus jensenii dominated). The microbiota of women who experienced preterm birth (&lt; 37 weeks gestation) had higher richness and diversity and higher Mollicutes prevalence when compared to those of women who delivered at term. The two groups did not cluster according to CST, likely because CST assignment is driven in most cases by the dominance of one particular species, overwhelming the contributions of more rare taxa. In conclusion, we did not identify a specific microbial community structure that predicts sPTB, but differences in microbiota richness, diversity and Mollicutes prevalence were observed between groups. Although a causal relationship remains to be determined, our results confirm previous reports of an association between Mollicutes and sPTB and further suggest that a more diverse microbiome may be important in the pathogenesis of some cases.","author":[{"dropping-particle":"","family":"Freitas","given":"Aline C.","non-dropping-particle":"","parse-names":false,"suffix":""},{"dropping-particle":"","family":"Bocking","given":"Alan","non-dropping-particle":"","parse-names":false,"suffix":""},{"dropping-particle":"","family":"Hill","given":"Janet E.","non-dropping-particle":"","parse-names":false,"suffix":""},{"dropping-particle":"","family":"Money","given":"Deborah M.","non-dropping-particle":"","parse-names":false,"suffix":""}],"container-title":"Microbiome","id":"ITEM-1","issue":"1","issued":{"date-parts":[["2018"]]},"page":"1-15","publisher":"Microbiome","title":"Increased richness and diversity of the vaginal microbiota and spontaneous preterm birth","type":"article-journal","volume":"6"},"uris":["http://www.mendeley.com/documents/?uuid=9bb1baa5-56fe-4050-93de-1bbe9e407aa1"]}],"mendeley":{"formattedCitation":"&lt;sup&gt;18&lt;/sup&gt;","plainTextFormattedCitation":"18","previouslyFormattedCitation":"&lt;sup&gt;18&lt;/sup&gt;"},"properties":{"noteIndex":0},"schema":"https://github.com/citation-style-language/schema/raw/master/csl-citation.json"}</w:instrText>
            </w:r>
            <w:r w:rsidR="007068AE" w:rsidRPr="001823ED">
              <w:rPr>
                <w:sz w:val="18"/>
                <w:szCs w:val="18"/>
              </w:rPr>
              <w:fldChar w:fldCharType="separate"/>
            </w:r>
            <w:r w:rsidR="008225FC" w:rsidRPr="008225FC">
              <w:rPr>
                <w:noProof/>
                <w:sz w:val="18"/>
                <w:szCs w:val="18"/>
                <w:vertAlign w:val="superscript"/>
              </w:rPr>
              <w:t>18</w:t>
            </w:r>
            <w:r w:rsidR="007068AE" w:rsidRPr="001823ED">
              <w:rPr>
                <w:sz w:val="18"/>
                <w:szCs w:val="18"/>
              </w:rPr>
              <w:fldChar w:fldCharType="end"/>
            </w:r>
          </w:p>
        </w:tc>
        <w:tc>
          <w:tcPr>
            <w:tcW w:w="809" w:type="dxa"/>
            <w:shd w:val="clear" w:color="auto" w:fill="auto"/>
            <w:textDirection w:val="btLr"/>
            <w:vAlign w:val="center"/>
          </w:tcPr>
          <w:p w14:paraId="7F2C27D1" w14:textId="41EAE7FD" w:rsidR="00411C71" w:rsidRPr="001823ED" w:rsidRDefault="00411C71" w:rsidP="00981270">
            <w:pPr>
              <w:widowControl w:val="0"/>
              <w:ind w:left="113" w:hanging="113"/>
              <w:rPr>
                <w:sz w:val="18"/>
                <w:szCs w:val="18"/>
              </w:rPr>
            </w:pPr>
            <w:proofErr w:type="spellStart"/>
            <w:r w:rsidRPr="001823ED">
              <w:rPr>
                <w:sz w:val="18"/>
                <w:szCs w:val="18"/>
              </w:rPr>
              <w:t>Tabatanaei</w:t>
            </w:r>
            <w:proofErr w:type="spellEnd"/>
            <w:r w:rsidRPr="001823ED">
              <w:rPr>
                <w:sz w:val="18"/>
                <w:szCs w:val="18"/>
              </w:rPr>
              <w:t xml:space="preserve"> 2019</w:t>
            </w:r>
            <w:r w:rsidR="00DC6E1B" w:rsidRPr="001823ED">
              <w:rPr>
                <w:sz w:val="18"/>
                <w:szCs w:val="18"/>
              </w:rPr>
              <w:fldChar w:fldCharType="begin" w:fldLock="1"/>
            </w:r>
            <w:r w:rsidR="0057070F">
              <w:rPr>
                <w:sz w:val="18"/>
                <w:szCs w:val="18"/>
              </w:rPr>
              <w:instrText>ADDIN CSL_CITATION {"citationItems":[{"id":"ITEM-1","itemData":{"DOI":"10.1111/1471-0528.15299","ISBN":"0020852312","ISSN":"14700328","PMID":"29791775","abstract":"OBJECTIVES: To explore differences in the vaginal microbiome between preterm and  term deliveries. DESIGN: Nested case-control study in 3D cohort (design, develop, discover). SETTING: Quebec, Canada. SAMPLE: Ninety-four women with spontaneous preterm birth as cases [17 early (&lt;34 weeks) and 77 late (34-36 weeks) preterm birth] and 356 women as controls with term delivery (&gt;/=37 weeks). METHODS: To assess the vaginal microbiome by sequencing the V4 region of the 16S ribosomal RNA (rRNA) gene in swabs self-collected during early pregnancy. MAIN OUTCOME MEASURES: Comparison of relative abundance of bacterial operational taxonomic units and oligotypes and identifying vaginal community state types (CSTs) in early or late spontaneous preterm and term deliveries. RESULTS: Lactobacillus gasseri/ Lactobacillus johnsonii (coefficient -5.36, 95% CI -8.07 to -2.65), Lactobacillus crispatus (99%)/ Lactobacillus acidophilus (99%) (-4.58, 95% CI -6.20 to -2.96), Lactobacillus iners (99%)/ Ralstonia solanacearum (99%) (-3.98, 95% CI -6.48 to -1.47) and Bifidobacterium longum/ Bifidobacterium breve (-8.84, 95% CI -12.96 to -4.73) were associated with decreased risk of early but not late preterm birth. Six vaginal CSTs were identified: four dominated by Lactobacillus; one with presence of bacterial vaginosis-associated bacteria (Gardnerella vaginalis, Atopobium vaginae and Veillonellaceae bacterium) (CST IV); and one with nondominance of Lactobacillus (CST VI). CST IV was associated with increased risk of early (4.22, 95% CI 1.24-24.85) but not late (1.63, 95% CI 0.68-5.04) preterm birth, compared with CST VI. CONCLUSIONS: Lactobacillus gasseri/L. johnsonii, L. crispatus/L. acidophilus, L. iners/R. solanacearum and B. longum/B. breve may be associated with decreased risk of early preterm birth. A bacterial vaginosis-related vaginal CST versus a CST nondominated by Lactobacillus may be associated with increased risk of early preterm birth. TWEETABLE ABSTRACT: Largest study of its kind finds certain species of vaginal Lactobacillus + Bifidobacterium may relate to lower risk of preterm birth.","author":[{"dropping-particle":"","family":"Tabatabaei","given":"N","non-dropping-particle":"","parse-names":false,"suffix":""},{"dropping-particle":"","family":"Eren","given":"AM","non-dropping-particle":"","parse-names":false,"suffix":""},{"dropping-particle":"","family":"Barreiro","given":"LB","non-dropping-particle":"","parse-names":false,"suffix":""},{"dropping-particle":"","family":"Yotova","given":"V","non-dropping-particle":"","parse-names":false,"suffix":""},{"dropping-particle":"","family":"Dumaine","given":"A","non-dropping-particle":"","parse-names":false,"suffix":""},{"dropping-particle":"","family":"Allard","given":"C","non-dropping-particle":"","parse-names":false,"suffix":""},{"dropping-particle":"","family":"Fraser","given":"WD","non-dropping-particle":"","parse-names":false,"suffix":""}],"container-title":"BJOG: An International Journal of Obstetrics &amp; Gynaecology","id":"ITEM-1","issued":{"date-parts":[["2018"]]},"page":"8-11","title":"Vaginal microbiome in early pregnancy and subsequent risk of spontaneous preterm birth: a case-control study","type":"article-journal"},"uris":["http://www.mendeley.com/documents/?uuid=aea8b08d-e768-4394-af42-817129283efb"]}],"mendeley":{"formattedCitation":"&lt;sup&gt;29&lt;/sup&gt;","plainTextFormattedCitation":"29","previouslyFormattedCitation":"&lt;sup&gt;29&lt;/sup&gt;"},"properties":{"noteIndex":0},"schema":"https://github.com/citation-style-language/schema/raw/master/csl-citation.json"}</w:instrText>
            </w:r>
            <w:r w:rsidR="00DC6E1B" w:rsidRPr="001823ED">
              <w:rPr>
                <w:sz w:val="18"/>
                <w:szCs w:val="18"/>
              </w:rPr>
              <w:fldChar w:fldCharType="separate"/>
            </w:r>
            <w:r w:rsidR="00F518EA" w:rsidRPr="00F518EA">
              <w:rPr>
                <w:noProof/>
                <w:sz w:val="18"/>
                <w:szCs w:val="18"/>
                <w:vertAlign w:val="superscript"/>
              </w:rPr>
              <w:t>29</w:t>
            </w:r>
            <w:r w:rsidR="00DC6E1B" w:rsidRPr="001823ED">
              <w:rPr>
                <w:sz w:val="18"/>
                <w:szCs w:val="18"/>
              </w:rPr>
              <w:fldChar w:fldCharType="end"/>
            </w:r>
          </w:p>
        </w:tc>
        <w:tc>
          <w:tcPr>
            <w:tcW w:w="809" w:type="dxa"/>
            <w:shd w:val="clear" w:color="auto" w:fill="auto"/>
            <w:textDirection w:val="btLr"/>
            <w:vAlign w:val="center"/>
          </w:tcPr>
          <w:p w14:paraId="5C0083DF" w14:textId="77777777" w:rsidR="00411C71" w:rsidRPr="001823ED" w:rsidRDefault="00411C71" w:rsidP="00981270">
            <w:pPr>
              <w:widowControl w:val="0"/>
              <w:ind w:left="113" w:right="45" w:hanging="113"/>
              <w:rPr>
                <w:sz w:val="18"/>
                <w:szCs w:val="18"/>
              </w:rPr>
            </w:pPr>
            <w:r w:rsidRPr="001823ED">
              <w:rPr>
                <w:sz w:val="18"/>
                <w:szCs w:val="18"/>
              </w:rPr>
              <w:t>Brown</w:t>
            </w:r>
          </w:p>
          <w:p w14:paraId="1ACFE119" w14:textId="6F59B3A5" w:rsidR="00411C71" w:rsidRPr="001823ED" w:rsidRDefault="00411C71" w:rsidP="00981270">
            <w:pPr>
              <w:widowControl w:val="0"/>
              <w:ind w:left="113" w:right="45" w:hanging="113"/>
              <w:rPr>
                <w:sz w:val="18"/>
                <w:szCs w:val="18"/>
              </w:rPr>
            </w:pPr>
            <w:r w:rsidRPr="001823ED">
              <w:rPr>
                <w:sz w:val="18"/>
                <w:szCs w:val="18"/>
              </w:rPr>
              <w:t>201</w:t>
            </w:r>
            <w:r w:rsidR="00DC6E1B" w:rsidRPr="001823ED">
              <w:rPr>
                <w:sz w:val="18"/>
                <w:szCs w:val="18"/>
              </w:rPr>
              <w:t>9</w:t>
            </w:r>
            <w:r w:rsidR="00DC6E1B" w:rsidRPr="001823ED">
              <w:rPr>
                <w:sz w:val="18"/>
                <w:szCs w:val="18"/>
              </w:rPr>
              <w:fldChar w:fldCharType="begin" w:fldLock="1"/>
            </w:r>
            <w:r w:rsidR="0057070F">
              <w:rPr>
                <w:sz w:val="18"/>
                <w:szCs w:val="18"/>
              </w:rPr>
              <w:instrText>ADDIN CSL_CITATION {"citationItems":[{"id":"ITEM-1","itemData":{"DOI":"10.1016/j.trsl.2018.12.005","ISSN":"18781810","abstract":"Vaginal bacterial community composition influences pregnancy outcome. Preterm prelabor rupture of the fetal membranes (PPROM), which precedes 30% of all spontaneous preterm births, is associated with high vaginal bacterial diversity prior to rupture. The point at which vaginal bacterial diversity is established before PPROM is unknown. In this study, we use metataxonomics to longitudinally characterize the vaginal bacterial composition from as early as 6 weeks of gestation in women at high (n = 38) and low (n = 22) risk of preterm birth who subsequently experience PPROM and in women delivering at term without complications (n = 36). Reduced Lactobacillus spp. abundance and high diversity was observed prior to PPROM in 20% and 26% of women at low and high risk of preterm births respectively, but in only 3% of women who delivered at term. PPROM was associated with instability of bacterial community structure during pregnancy and a shift toward higher diversity predominately occurring during the second trimester. This was characterized by increased relative abundance of potentially pathogenic species including Prevotella, Peptoniphilus, Streptococcus, and Dialister. This study identifies reduced Lactobacillus spp. abundance and increasing vaginal bacterial diversity as an early risk factor for PPROM and highlights the need for interventional studies designed to assess the impact of modifying vaginal bacterial composition for the prevention of preterm birth.","author":[{"dropping-particle":"","family":"Brown","given":"Richard G.","non-dropping-particle":"","parse-names":false,"suffix":""},{"dropping-particle":"","family":"Al-Memar","given":"Maya","non-dropping-particle":"","parse-names":false,"suffix":""},{"dropping-particle":"","family":"Marchesi","given":"Julian R.","non-dropping-particle":"","parse-names":false,"suffix":""},{"dropping-particle":"","family":"Lee","given":"Yun S.","non-dropping-particle":"","parse-names":false,"suffix":""},{"dropping-particle":"","family":"Smith","given":"Ann","non-dropping-particle":"","parse-names":false,"suffix":""},{"dropping-particle":"","family":"Chan","given":"Denise","non-dropping-particle":"","parse-names":false,"suffix":""},{"dropping-particle":"","family":"Lewis","given":"Holly","non-dropping-particle":"","parse-names":false,"suffix":""},{"dropping-particle":"","family":"Kindinger","given":"Lindsay","non-dropping-particle":"","parse-names":false,"suffix":""},{"dropping-particle":"","family":"Terzidou","given":"Vasso","non-dropping-particle":"","parse-names":false,"suffix":""},{"dropping-particle":"","family":"Bourne","given":"Tom","non-dropping-particle":"","parse-names":false,"suffix":""},{"dropping-particle":"","family":"Bennett","given":"Phillip R.","non-dropping-particle":"","parse-names":false,"suffix":""},{"dropping-particle":"","family":"MacIntyre","given":"David A.","non-dropping-particle":"","parse-names":false,"suffix":""}],"container-title":"Translational Research","id":"ITEM-1","issued":{"date-parts":[["2019"]]},"page":"1-14","publisher":"Elsevier Inc.","title":"Establishment of vaginal microbiota composition in early pregnancy and its association with subsequent preterm prelabor rupture of the fetal membranes","type":"article-journal"},"uris":["http://www.mendeley.com/documents/?uuid=9e956727-9ab1-44ee-8820-b583442ec4d0"]}],"mendeley":{"formattedCitation":"&lt;sup&gt;30&lt;/sup&gt;","plainTextFormattedCitation":"30","previouslyFormattedCitation":"&lt;sup&gt;30&lt;/sup&gt;"},"properties":{"noteIndex":0},"schema":"https://github.com/citation-style-language/schema/raw/master/csl-citation.json"}</w:instrText>
            </w:r>
            <w:r w:rsidR="00DC6E1B" w:rsidRPr="001823ED">
              <w:rPr>
                <w:sz w:val="18"/>
                <w:szCs w:val="18"/>
              </w:rPr>
              <w:fldChar w:fldCharType="separate"/>
            </w:r>
            <w:r w:rsidR="00F518EA" w:rsidRPr="00F518EA">
              <w:rPr>
                <w:noProof/>
                <w:sz w:val="18"/>
                <w:szCs w:val="18"/>
                <w:vertAlign w:val="superscript"/>
              </w:rPr>
              <w:t>30</w:t>
            </w:r>
            <w:r w:rsidR="00DC6E1B" w:rsidRPr="001823ED">
              <w:rPr>
                <w:sz w:val="18"/>
                <w:szCs w:val="18"/>
              </w:rPr>
              <w:fldChar w:fldCharType="end"/>
            </w:r>
          </w:p>
        </w:tc>
        <w:tc>
          <w:tcPr>
            <w:tcW w:w="809" w:type="dxa"/>
            <w:shd w:val="clear" w:color="auto" w:fill="auto"/>
            <w:textDirection w:val="btLr"/>
            <w:vAlign w:val="center"/>
          </w:tcPr>
          <w:p w14:paraId="33FB42D1" w14:textId="77777777" w:rsidR="00411C71" w:rsidRPr="001823ED" w:rsidRDefault="00411C71" w:rsidP="00981270">
            <w:pPr>
              <w:widowControl w:val="0"/>
              <w:ind w:left="113" w:right="5" w:hanging="88"/>
              <w:rPr>
                <w:sz w:val="18"/>
                <w:szCs w:val="18"/>
              </w:rPr>
            </w:pPr>
            <w:proofErr w:type="spellStart"/>
            <w:r w:rsidRPr="001823ED">
              <w:rPr>
                <w:sz w:val="18"/>
                <w:szCs w:val="18"/>
              </w:rPr>
              <w:t>Elovitz</w:t>
            </w:r>
            <w:proofErr w:type="spellEnd"/>
          </w:p>
          <w:p w14:paraId="493F1162" w14:textId="74509947" w:rsidR="00411C71" w:rsidRPr="001823ED" w:rsidRDefault="00411C71" w:rsidP="00981270">
            <w:pPr>
              <w:widowControl w:val="0"/>
              <w:ind w:left="113" w:right="5" w:hanging="88"/>
              <w:rPr>
                <w:sz w:val="18"/>
                <w:szCs w:val="18"/>
              </w:rPr>
            </w:pPr>
            <w:r w:rsidRPr="001823ED">
              <w:rPr>
                <w:sz w:val="18"/>
                <w:szCs w:val="18"/>
              </w:rPr>
              <w:t>2019</w:t>
            </w:r>
            <w:r w:rsidR="00BF46C9" w:rsidRPr="001823ED">
              <w:rPr>
                <w:sz w:val="18"/>
                <w:szCs w:val="18"/>
              </w:rPr>
              <w:fldChar w:fldCharType="begin" w:fldLock="1"/>
            </w:r>
            <w:r w:rsidR="00E07E09">
              <w:rPr>
                <w:sz w:val="18"/>
                <w:szCs w:val="18"/>
              </w:rPr>
              <w:instrText>ADDIN CSL_CITATION {"citationItems":[{"id":"ITEM-1","itemData":{"DOI":"10.1038/s41467-019-09285-9","ISSN":"20411723","abstract":"Failure to predict and understand the causes of preterm birth, the leading cause of neonatal morbidity and mortality, have limited effective interventions and therapeutics. From a cohort of 2000 pregnant women, we performed a nested case control study on 107 well-phenotyped cases of spontaneous preterm birth (sPTB) and 432 women delivering at term. Using innovative Bayesian modeling of cervicovaginal microbiota, seven bacterial taxa were significantly associated with increased risk of sPTB, with a stronger effect in African American women. However, higher vaginal levels of β-defensin-2 lowered the risk of sPTB associated with cervicovaginal microbiota in an ethnicity-dependent manner. Surprisingly, even in Lactobacillus spp. dominated cervicovaginal microbiota, low β-defensin-2 was associated with increased risk of sPTB. These findings hold promise for diagnostics to accurately identify women at risk for sPTB early in pregnancy. Therapeutic strategies could include immune modulators and microbiome-based therapeutics to reduce this significant health burden.","author":[{"dropping-particle":"","family":"Elovitz","given":"Michal A.","non-dropping-particle":"","parse-names":false,"suffix":""},{"dropping-particle":"","family":"Gajer","given":"Pawel","non-dropping-particle":"","parse-names":false,"suffix":""},{"dropping-particle":"","family":"Riis","given":"Valerie","non-dropping-particle":"","parse-names":false,"suffix":""},{"dropping-particle":"","family":"Brown","given":"Amy G.","non-dropping-particle":"","parse-names":false,"suffix":""},{"dropping-particle":"","family":"Humphrys","given":"Michael S.","non-dropping-particle":"","parse-names":false,"suffix":""},{"dropping-particle":"","family":"Holm","given":"Johanna B.","non-dropping-particle":"","parse-names":false,"suffix":""},{"dropping-particle":"","family":"Ravel","given":"Jacques","non-dropping-particle":"","parse-names":false,"suffix":""}],"container-title":"Nature Communications","id":"ITEM-1","issue":"1","issued":{"date-parts":[["2019"]]},"page":"1-8","publisher":"Springer US","title":"Cervicovaginal microbiota and local immune response modulate the risk of spontaneous preterm delivery","type":"article-journal","volume":"10"},"uris":["http://www.mendeley.com/documents/?uuid=f31f2853-83e1-4d49-b2bc-3ad8cc5db5db"]}],"mendeley":{"formattedCitation":"&lt;sup&gt;19&lt;/sup&gt;","plainTextFormattedCitation":"19","previouslyFormattedCitation":"&lt;sup&gt;19&lt;/sup&gt;"},"properties":{"noteIndex":0},"schema":"https://github.com/citation-style-language/schema/raw/master/csl-citation.json"}</w:instrText>
            </w:r>
            <w:r w:rsidR="00BF46C9" w:rsidRPr="001823ED">
              <w:rPr>
                <w:sz w:val="18"/>
                <w:szCs w:val="18"/>
              </w:rPr>
              <w:fldChar w:fldCharType="separate"/>
            </w:r>
            <w:r w:rsidR="00E07E09" w:rsidRPr="00E07E09">
              <w:rPr>
                <w:noProof/>
                <w:sz w:val="18"/>
                <w:szCs w:val="18"/>
                <w:vertAlign w:val="superscript"/>
              </w:rPr>
              <w:t>19</w:t>
            </w:r>
            <w:r w:rsidR="00BF46C9" w:rsidRPr="001823ED">
              <w:rPr>
                <w:sz w:val="18"/>
                <w:szCs w:val="18"/>
              </w:rPr>
              <w:fldChar w:fldCharType="end"/>
            </w:r>
          </w:p>
        </w:tc>
        <w:tc>
          <w:tcPr>
            <w:tcW w:w="809" w:type="dxa"/>
            <w:shd w:val="clear" w:color="auto" w:fill="auto"/>
            <w:textDirection w:val="btLr"/>
            <w:vAlign w:val="center"/>
          </w:tcPr>
          <w:p w14:paraId="138AC50E" w14:textId="77777777" w:rsidR="00411C71" w:rsidRPr="001823ED" w:rsidRDefault="00411C71" w:rsidP="00981270">
            <w:pPr>
              <w:widowControl w:val="0"/>
              <w:ind w:left="113" w:hanging="113"/>
              <w:rPr>
                <w:sz w:val="18"/>
                <w:szCs w:val="18"/>
              </w:rPr>
            </w:pPr>
            <w:proofErr w:type="spellStart"/>
            <w:r w:rsidRPr="001823ED">
              <w:rPr>
                <w:sz w:val="18"/>
                <w:szCs w:val="18"/>
              </w:rPr>
              <w:t>Fettweis</w:t>
            </w:r>
            <w:proofErr w:type="spellEnd"/>
          </w:p>
          <w:p w14:paraId="4DB66581" w14:textId="359DD230" w:rsidR="00411C71" w:rsidRPr="001823ED" w:rsidRDefault="00411C71" w:rsidP="00981270">
            <w:pPr>
              <w:widowControl w:val="0"/>
              <w:ind w:left="113" w:hanging="113"/>
              <w:rPr>
                <w:sz w:val="18"/>
                <w:szCs w:val="18"/>
              </w:rPr>
            </w:pPr>
            <w:r w:rsidRPr="001823ED">
              <w:rPr>
                <w:sz w:val="18"/>
                <w:szCs w:val="18"/>
              </w:rPr>
              <w:t>2019</w:t>
            </w:r>
            <w:r w:rsidR="00BF46C9" w:rsidRPr="001823ED">
              <w:rPr>
                <w:sz w:val="18"/>
                <w:szCs w:val="18"/>
              </w:rPr>
              <w:fldChar w:fldCharType="begin" w:fldLock="1"/>
            </w:r>
            <w:r w:rsidR="008225FC">
              <w:rPr>
                <w:sz w:val="18"/>
                <w:szCs w:val="18"/>
              </w:rPr>
              <w:instrText>ADDIN CSL_CITATION {"citationItems":[{"id":"ITEM-1","itemData":{"DOI":"10.1038/s41591-019-0450-2","ISSN":"1546170X","abstract":"The incidence of preterm birth exceeds 10% worldwide. There are significant disparities in the frequency of preterm birth among populations within countries, and women of African ancestry disproportionately bear the burden of risk in the United States. In the present study, we report a community resource that includes ‘omics’ data from approximately 12,000 samples as part of the integrative Human Microbiome Project. Longitudinal analyses of 16S ribosomal RNA, metagenomic, metatranscriptomic and cytokine profiles from 45 preterm and 90 term birth controls identified harbingers of preterm birth in this cohort of women predominantly of African ancestry. Women who delivered preterm exhibited significantly lower vaginal levels of Lactobacillus crispatus and higher levels of BVAB1, Sneathia amnii, TM7-H1, a group of Prevotella species and nine additional taxa. The first representative genomes of BVAB1 and TM7-H1 are described. Preterm-birth-associated taxa were correlated with proinflammatory cytokines in vaginal fluid. These findings highlight new opportunities for assessment of the risk of preterm birth.","author":[{"dropping-particle":"","family":"Fettweis","given":"Jennifer M.","non-dropping-particle":"","parse-names":false,"suffix":""},{"dropping-particle":"","family":"Serrano","given":"Myrna G.","non-dropping-particle":"","parse-names":false,"suffix":""},{"dropping-particle":"","family":"Brooks","given":"J. Paul","non-dropping-particle":"","parse-names":false,"suffix":""},{"dropping-particle":"","family":"Edwards","given":"David J.","non-dropping-particle":"","parse-names":false,"suffix":""},{"dropping-particle":"","family":"Girerd","given":"Philippe H.","non-dropping-particle":"","parse-names":false,"suffix":""},{"dropping-particle":"","family":"Parikh","given":"Hardik I.","non-dropping-particle":"","parse-names":false,"suffix":""},{"dropping-particle":"","family":"Huang","given":"Bernice","non-dropping-particle":"","parse-names":false,"suffix":""},{"dropping-particle":"","family":"Arodz","given":"Tom J.","non-dropping-particle":"","parse-names":false,"suffix":""},{"dropping-particle":"","family":"Edupuganti","given":"Laahirie","non-dropping-particle":"","parse-names":false,"suffix":""},{"dropping-particle":"","family":"Glascock","given":"Abigail L.","non-dropping-particle":"","parse-names":false,"suffix":""},{"dropping-particle":"","family":"Xu","given":"Jie","non-dropping-particle":"","parse-names":false,"suffix":""},{"dropping-particle":"","family":"Jimenez","given":"Nicole R.","non-dropping-particle":"","parse-names":false,"suffix":""},{"dropping-particle":"","family":"Vivadelli","given":"Stephany C.","non-dropping-particle":"","parse-names":false,"suffix":""},{"dropping-particle":"","family":"Fong","given":"Stephen S.","non-dropping-particle":"","parse-names":false,"suffix":""},{"dropping-particle":"","family":"Sheth","given":"Nihar U.","non-dropping-particle":"","parse-names":false,"suffix":""},{"dropping-particle":"","family":"Jean","given":"Sophonie","non-dropping-particle":"","parse-names":false,"suffix":""},{"dropping-particle":"","family":"Lee","given":"Vladimir","non-dropping-particle":"","parse-names":false,"suffix":""},{"dropping-particle":"","family":"Bokhari","given":"Yahya A.","non-dropping-particle":"","parse-names":false,"suffix":""},{"dropping-particle":"","family":"Lara","given":"Ana M.","non-dropping-particle":"","parse-names":false,"suffix":""},{"dropping-particle":"","family":"Mistry","given":"Shreni D.","non-dropping-particle":"","parse-names":false,"suffix":""},{"dropping-particle":"","family":"Duckworth","given":"Robert A.","non-dropping-particle":"","parse-names":false,"suffix":""},{"dropping-particle":"","family":"Bradley","given":"Steven P.","non-dropping-particle":"","parse-names":false,"suffix":""},{"dropping-particle":"","family":"Koparde","given":"Vishal N.","non-dropping-particle":"","parse-names":false,"suffix":""},{"dropping-particle":"","family":"Orenda","given":"X. Valentine","non-dropping-particle":"","parse-names":false,"suffix":""},{"dropping-particle":"","family":"Milton","given":"Sarah H.","non-dropping-particle":"","parse-names":false,"suffix":""},{"dropping-particle":"","family":"Rozycki","given":"Sarah K.","non-dropping-particle":"","parse-names":false,"suffix":""},{"dropping-particle":"V.","family":"Matveyev","given":"Andrey","non-dropping-particle":"","parse-names":false,"suffix":""},{"dropping-particle":"","family":"Wright","given":"Michelle L.","non-dropping-particle":"","parse-names":false,"suffix":""},{"dropping-particle":"V.","family":"Huzurbazar","given":"Snehalata","non-dropping-particle":"","parse-names":false,"suffix":""},{"dropping-particle":"","family":"Jackson","given":"Eugenie M.","non-dropping-particle":"","parse-names":false,"suffix":""},{"dropping-particle":"","family":"Smirnova","given":"Ekaterina","non-dropping-particle":"","parse-names":false,"suffix":""},{"dropping-particle":"","family":"Korlach","given":"Jonas","non-dropping-particle":"","parse-names":false,"suffix":""},{"dropping-particle":"","family":"Tsai","given":"Yu Chih","non-dropping-particle":"","parse-names":false,"suffix":""},{"dropping-particle":"","family":"Dickinson","given":"Molly R.","non-dropping-particle":"","parse-names":false,"suffix":""},{"dropping-particle":"","family":"Brooks","given":"Jamie L.","non-dropping-particle":"","parse-names":false,"suffix":""},{"dropping-particle":"","family":"Drake","given":"Jennifer I.","non-dropping-particle":"","parse-names":false,"suffix":""},{"dropping-particle":"","family":"Chaffin","given":"Donald O.","non-dropping-particle":"","parse-names":false,"suffix":""},{"dropping-particle":"","family":"Sexton","given":"Amber L.","non-dropping-particle":"","parse-names":false,"suffix":""},{"dropping-particle":"","family":"Gravett","given":"Michael G.","non-dropping-particle":"","parse-names":false,"suffix":""},{"dropping-particle":"","family":"Rubens","given":"Craig E.","non-dropping-particle":"","parse-names":false,"suffix":""},{"dropping-particle":"","family":"Wijesooriya","given":"N. Romesh","non-dropping-particle":"","parse-names":false,"suffix":""},{"dropping-particle":"","family":"Hendricks-Muñoz","given":"Karen D.","non-dropping-particle":"","parse-names":false,"suffix":""},{"dropping-particle":"","family":"Jefferson","given":"Kimberly K.","non-dropping-particle":"","parse-names":false,"suffix":""},{"dropping-particle":"","family":"Strauss","given":"Jerome F.","non-dropping-particle":"","parse-names":false,"suffix":""},{"dropping-particle":"","family":"Buck","given":"Gregory A.","non-dropping-particle":"","parse-names":false,"suffix":""}],"container-title":"Nature Medicine","id":"ITEM-1","issue":"6","issued":{"date-parts":[["2019"]]},"page":"1012-1021","title":"The vaginal microbiome and preterm birth","type":"article-journal","volume":"25"},"uris":["http://www.mendeley.com/documents/?uuid=f54b6faa-61fc-47b2-88c3-37a7cc047392"]}],"mendeley":{"formattedCitation":"&lt;sup&gt;7&lt;/sup&gt;","plainTextFormattedCitation":"7","previouslyFormattedCitation":"&lt;sup&gt;7&lt;/sup&gt;"},"properties":{"noteIndex":0},"schema":"https://github.com/citation-style-language/schema/raw/master/csl-citation.json"}</w:instrText>
            </w:r>
            <w:r w:rsidR="00BF46C9" w:rsidRPr="001823ED">
              <w:rPr>
                <w:sz w:val="18"/>
                <w:szCs w:val="18"/>
              </w:rPr>
              <w:fldChar w:fldCharType="separate"/>
            </w:r>
            <w:r w:rsidR="0042078F" w:rsidRPr="0042078F">
              <w:rPr>
                <w:noProof/>
                <w:sz w:val="18"/>
                <w:szCs w:val="18"/>
                <w:vertAlign w:val="superscript"/>
              </w:rPr>
              <w:t>7</w:t>
            </w:r>
            <w:r w:rsidR="00BF46C9" w:rsidRPr="001823ED">
              <w:rPr>
                <w:sz w:val="18"/>
                <w:szCs w:val="18"/>
              </w:rPr>
              <w:fldChar w:fldCharType="end"/>
            </w:r>
          </w:p>
        </w:tc>
      </w:tr>
      <w:tr w:rsidR="005F07B5" w:rsidRPr="001823ED" w14:paraId="588AE93F" w14:textId="77777777" w:rsidTr="00981270">
        <w:trPr>
          <w:cantSplit/>
          <w:trHeight w:val="366"/>
        </w:trPr>
        <w:tc>
          <w:tcPr>
            <w:tcW w:w="1128" w:type="dxa"/>
            <w:vMerge w:val="restart"/>
            <w:shd w:val="clear" w:color="auto" w:fill="auto"/>
            <w:textDirection w:val="btLr"/>
            <w:vAlign w:val="center"/>
          </w:tcPr>
          <w:p w14:paraId="44AF2B59" w14:textId="77777777" w:rsidR="00411C71" w:rsidRPr="001823ED" w:rsidRDefault="00411C71" w:rsidP="00981270">
            <w:pPr>
              <w:widowControl w:val="0"/>
              <w:ind w:left="113" w:right="113" w:firstLine="360"/>
              <w:jc w:val="center"/>
            </w:pPr>
            <w:r w:rsidRPr="001823ED">
              <w:rPr>
                <w:rFonts w:cs="Calibri"/>
              </w:rPr>
              <w:t>Population</w:t>
            </w:r>
          </w:p>
        </w:tc>
        <w:tc>
          <w:tcPr>
            <w:tcW w:w="3264" w:type="dxa"/>
            <w:shd w:val="clear" w:color="auto" w:fill="auto"/>
            <w:vAlign w:val="center"/>
          </w:tcPr>
          <w:p w14:paraId="0F1EC4E9" w14:textId="77777777" w:rsidR="00411C71" w:rsidRPr="001823ED" w:rsidRDefault="00411C71" w:rsidP="00981270">
            <w:pPr>
              <w:widowControl w:val="0"/>
              <w:ind w:right="-103"/>
              <w:rPr>
                <w:sz w:val="20"/>
                <w:szCs w:val="20"/>
              </w:rPr>
            </w:pPr>
            <w:r w:rsidRPr="001823ED">
              <w:rPr>
                <w:rFonts w:cs="Calibri"/>
                <w:sz w:val="20"/>
                <w:szCs w:val="20"/>
              </w:rPr>
              <w:t>Number of term birth participants</w:t>
            </w:r>
          </w:p>
        </w:tc>
        <w:tc>
          <w:tcPr>
            <w:tcW w:w="808" w:type="dxa"/>
            <w:shd w:val="clear" w:color="auto" w:fill="auto"/>
            <w:vAlign w:val="center"/>
          </w:tcPr>
          <w:p w14:paraId="2A74CE60" w14:textId="77777777" w:rsidR="00411C71" w:rsidRPr="001823ED" w:rsidRDefault="00411C71" w:rsidP="00981270">
            <w:pPr>
              <w:widowControl w:val="0"/>
              <w:ind w:left="85" w:hanging="85"/>
              <w:jc w:val="center"/>
              <w:rPr>
                <w:sz w:val="20"/>
                <w:szCs w:val="20"/>
              </w:rPr>
            </w:pPr>
            <w:r w:rsidRPr="001823ED">
              <w:rPr>
                <w:rFonts w:cs="Calibri"/>
                <w:sz w:val="20"/>
                <w:szCs w:val="20"/>
              </w:rPr>
              <w:t>72</w:t>
            </w:r>
          </w:p>
        </w:tc>
        <w:tc>
          <w:tcPr>
            <w:tcW w:w="809" w:type="dxa"/>
            <w:shd w:val="clear" w:color="auto" w:fill="auto"/>
            <w:vAlign w:val="center"/>
          </w:tcPr>
          <w:p w14:paraId="5E1E0766" w14:textId="77777777" w:rsidR="00411C71" w:rsidRPr="001823ED" w:rsidRDefault="00411C71" w:rsidP="00981270">
            <w:pPr>
              <w:widowControl w:val="0"/>
              <w:ind w:left="113" w:hanging="113"/>
              <w:jc w:val="center"/>
              <w:rPr>
                <w:sz w:val="20"/>
                <w:szCs w:val="20"/>
              </w:rPr>
            </w:pPr>
            <w:r w:rsidRPr="001823ED">
              <w:rPr>
                <w:rFonts w:cs="Calibri"/>
                <w:sz w:val="20"/>
                <w:szCs w:val="20"/>
              </w:rPr>
              <w:t>34</w:t>
            </w:r>
          </w:p>
        </w:tc>
        <w:tc>
          <w:tcPr>
            <w:tcW w:w="809" w:type="dxa"/>
            <w:shd w:val="clear" w:color="auto" w:fill="auto"/>
            <w:vAlign w:val="center"/>
          </w:tcPr>
          <w:p w14:paraId="410EBBAE" w14:textId="77777777" w:rsidR="00411C71" w:rsidRPr="001823ED" w:rsidRDefault="00411C71" w:rsidP="00981270">
            <w:pPr>
              <w:widowControl w:val="0"/>
              <w:ind w:left="113" w:hanging="113"/>
              <w:jc w:val="center"/>
              <w:rPr>
                <w:sz w:val="20"/>
                <w:szCs w:val="20"/>
              </w:rPr>
            </w:pPr>
            <w:r w:rsidRPr="001823ED">
              <w:rPr>
                <w:rFonts w:cs="Calibri"/>
                <w:sz w:val="20"/>
                <w:szCs w:val="20"/>
              </w:rPr>
              <w:t>20</w:t>
            </w:r>
          </w:p>
        </w:tc>
        <w:tc>
          <w:tcPr>
            <w:tcW w:w="809" w:type="dxa"/>
            <w:shd w:val="clear" w:color="auto" w:fill="auto"/>
            <w:vAlign w:val="center"/>
          </w:tcPr>
          <w:p w14:paraId="6D42E411" w14:textId="77777777" w:rsidR="00411C71" w:rsidRPr="001823ED" w:rsidRDefault="00411C71" w:rsidP="00981270">
            <w:pPr>
              <w:widowControl w:val="0"/>
              <w:ind w:left="113" w:hanging="98"/>
              <w:jc w:val="center"/>
              <w:rPr>
                <w:sz w:val="20"/>
                <w:szCs w:val="20"/>
              </w:rPr>
            </w:pPr>
            <w:r w:rsidRPr="001823ED">
              <w:rPr>
                <w:rFonts w:cs="Calibri"/>
                <w:sz w:val="20"/>
                <w:szCs w:val="20"/>
              </w:rPr>
              <w:t>27</w:t>
            </w:r>
          </w:p>
        </w:tc>
        <w:tc>
          <w:tcPr>
            <w:tcW w:w="809" w:type="dxa"/>
            <w:shd w:val="clear" w:color="auto" w:fill="auto"/>
            <w:vAlign w:val="center"/>
          </w:tcPr>
          <w:p w14:paraId="3A34428F" w14:textId="77777777" w:rsidR="00411C71" w:rsidRPr="001823ED" w:rsidRDefault="00411C71" w:rsidP="00981270">
            <w:pPr>
              <w:widowControl w:val="0"/>
              <w:ind w:left="113" w:hanging="113"/>
              <w:jc w:val="center"/>
              <w:rPr>
                <w:sz w:val="20"/>
                <w:szCs w:val="20"/>
              </w:rPr>
            </w:pPr>
            <w:r w:rsidRPr="001823ED">
              <w:rPr>
                <w:rFonts w:cs="Calibri"/>
                <w:sz w:val="20"/>
                <w:szCs w:val="20"/>
              </w:rPr>
              <w:t>184</w:t>
            </w:r>
          </w:p>
        </w:tc>
        <w:tc>
          <w:tcPr>
            <w:tcW w:w="809" w:type="dxa"/>
            <w:shd w:val="clear" w:color="auto" w:fill="auto"/>
            <w:vAlign w:val="center"/>
          </w:tcPr>
          <w:p w14:paraId="01EA2E76" w14:textId="77777777" w:rsidR="00411C71" w:rsidRPr="001823ED" w:rsidRDefault="00411C71" w:rsidP="00981270">
            <w:pPr>
              <w:widowControl w:val="0"/>
              <w:ind w:left="113" w:hanging="113"/>
              <w:jc w:val="center"/>
              <w:rPr>
                <w:sz w:val="20"/>
                <w:szCs w:val="20"/>
              </w:rPr>
            </w:pPr>
            <w:r w:rsidRPr="001823ED">
              <w:rPr>
                <w:rFonts w:cs="Calibri"/>
                <w:sz w:val="20"/>
                <w:szCs w:val="20"/>
              </w:rPr>
              <w:t>85</w:t>
            </w:r>
          </w:p>
        </w:tc>
        <w:tc>
          <w:tcPr>
            <w:tcW w:w="809" w:type="dxa"/>
            <w:shd w:val="clear" w:color="auto" w:fill="auto"/>
            <w:vAlign w:val="center"/>
          </w:tcPr>
          <w:p w14:paraId="1005156D" w14:textId="77777777" w:rsidR="00411C71" w:rsidRPr="001823ED" w:rsidRDefault="00411C71" w:rsidP="00981270">
            <w:pPr>
              <w:widowControl w:val="0"/>
              <w:ind w:left="113" w:hanging="113"/>
              <w:jc w:val="center"/>
              <w:rPr>
                <w:sz w:val="20"/>
                <w:szCs w:val="20"/>
              </w:rPr>
            </w:pPr>
            <w:r w:rsidRPr="001823ED">
              <w:rPr>
                <w:rFonts w:cs="Calibri"/>
                <w:sz w:val="20"/>
                <w:szCs w:val="20"/>
              </w:rPr>
              <w:t>53</w:t>
            </w:r>
          </w:p>
        </w:tc>
        <w:tc>
          <w:tcPr>
            <w:tcW w:w="809" w:type="dxa"/>
            <w:shd w:val="clear" w:color="auto" w:fill="auto"/>
            <w:vAlign w:val="center"/>
          </w:tcPr>
          <w:p w14:paraId="2E139EB0" w14:textId="77777777" w:rsidR="00411C71" w:rsidRPr="001823ED" w:rsidRDefault="00411C71" w:rsidP="00981270">
            <w:pPr>
              <w:widowControl w:val="0"/>
              <w:ind w:left="113" w:hanging="113"/>
              <w:jc w:val="center"/>
              <w:rPr>
                <w:sz w:val="20"/>
                <w:szCs w:val="20"/>
              </w:rPr>
            </w:pPr>
            <w:r w:rsidRPr="001823ED">
              <w:rPr>
                <w:rFonts w:cs="Calibri"/>
                <w:sz w:val="20"/>
                <w:szCs w:val="20"/>
              </w:rPr>
              <w:t>170</w:t>
            </w:r>
          </w:p>
        </w:tc>
        <w:tc>
          <w:tcPr>
            <w:tcW w:w="809" w:type="dxa"/>
            <w:shd w:val="clear" w:color="auto" w:fill="auto"/>
            <w:vAlign w:val="center"/>
          </w:tcPr>
          <w:p w14:paraId="41BB973C" w14:textId="77777777" w:rsidR="00411C71" w:rsidRPr="001823ED" w:rsidRDefault="00411C71" w:rsidP="00981270">
            <w:pPr>
              <w:widowControl w:val="0"/>
              <w:ind w:left="113" w:hanging="113"/>
              <w:jc w:val="center"/>
              <w:rPr>
                <w:sz w:val="20"/>
                <w:szCs w:val="20"/>
              </w:rPr>
            </w:pPr>
            <w:r w:rsidRPr="001823ED">
              <w:rPr>
                <w:rFonts w:cs="Calibri"/>
                <w:sz w:val="20"/>
                <w:szCs w:val="20"/>
              </w:rPr>
              <w:t>356</w:t>
            </w:r>
          </w:p>
        </w:tc>
        <w:tc>
          <w:tcPr>
            <w:tcW w:w="809" w:type="dxa"/>
            <w:shd w:val="clear" w:color="auto" w:fill="auto"/>
            <w:vAlign w:val="center"/>
          </w:tcPr>
          <w:p w14:paraId="54A5B5B5" w14:textId="77777777" w:rsidR="00411C71" w:rsidRPr="001823ED" w:rsidRDefault="00411C71" w:rsidP="00981270">
            <w:pPr>
              <w:widowControl w:val="0"/>
              <w:ind w:left="113" w:right="45" w:hanging="113"/>
              <w:jc w:val="center"/>
              <w:rPr>
                <w:sz w:val="20"/>
                <w:szCs w:val="20"/>
              </w:rPr>
            </w:pPr>
            <w:r w:rsidRPr="001823ED">
              <w:rPr>
                <w:rFonts w:cs="Calibri"/>
                <w:sz w:val="20"/>
                <w:szCs w:val="20"/>
              </w:rPr>
              <w:t>36</w:t>
            </w:r>
          </w:p>
        </w:tc>
        <w:tc>
          <w:tcPr>
            <w:tcW w:w="809" w:type="dxa"/>
            <w:shd w:val="clear" w:color="auto" w:fill="auto"/>
            <w:vAlign w:val="center"/>
          </w:tcPr>
          <w:p w14:paraId="7438C395" w14:textId="77777777" w:rsidR="00411C71" w:rsidRPr="001823ED" w:rsidRDefault="00411C71" w:rsidP="00981270">
            <w:pPr>
              <w:widowControl w:val="0"/>
              <w:ind w:left="113" w:right="5" w:hanging="88"/>
              <w:jc w:val="center"/>
              <w:rPr>
                <w:sz w:val="20"/>
                <w:szCs w:val="20"/>
              </w:rPr>
            </w:pPr>
            <w:r w:rsidRPr="001823ED">
              <w:rPr>
                <w:rFonts w:cs="Calibri"/>
                <w:sz w:val="20"/>
                <w:szCs w:val="20"/>
              </w:rPr>
              <w:t>432</w:t>
            </w:r>
          </w:p>
        </w:tc>
        <w:tc>
          <w:tcPr>
            <w:tcW w:w="809" w:type="dxa"/>
            <w:shd w:val="clear" w:color="auto" w:fill="auto"/>
            <w:vAlign w:val="center"/>
          </w:tcPr>
          <w:p w14:paraId="40B41B5F" w14:textId="77777777" w:rsidR="00411C71" w:rsidRPr="001823ED" w:rsidRDefault="00411C71" w:rsidP="00981270">
            <w:pPr>
              <w:widowControl w:val="0"/>
              <w:ind w:left="113" w:hanging="113"/>
              <w:jc w:val="center"/>
              <w:rPr>
                <w:sz w:val="20"/>
                <w:szCs w:val="20"/>
              </w:rPr>
            </w:pPr>
            <w:r w:rsidRPr="001823ED">
              <w:rPr>
                <w:rFonts w:cs="Calibri"/>
                <w:sz w:val="20"/>
                <w:szCs w:val="20"/>
              </w:rPr>
              <w:t>90</w:t>
            </w:r>
          </w:p>
        </w:tc>
      </w:tr>
      <w:tr w:rsidR="005F07B5" w:rsidRPr="001823ED" w14:paraId="2EA67B2B" w14:textId="77777777" w:rsidTr="00981270">
        <w:trPr>
          <w:cantSplit/>
          <w:trHeight w:val="366"/>
        </w:trPr>
        <w:tc>
          <w:tcPr>
            <w:tcW w:w="1128" w:type="dxa"/>
            <w:vMerge/>
            <w:shd w:val="clear" w:color="auto" w:fill="auto"/>
            <w:textDirection w:val="btLr"/>
          </w:tcPr>
          <w:p w14:paraId="6422F8A4" w14:textId="77777777" w:rsidR="00411C71" w:rsidRPr="001823ED" w:rsidRDefault="00411C71" w:rsidP="00981270">
            <w:pPr>
              <w:widowControl w:val="0"/>
              <w:ind w:left="113" w:right="113" w:firstLine="360"/>
            </w:pPr>
          </w:p>
        </w:tc>
        <w:tc>
          <w:tcPr>
            <w:tcW w:w="3264" w:type="dxa"/>
            <w:shd w:val="clear" w:color="auto" w:fill="auto"/>
            <w:vAlign w:val="center"/>
          </w:tcPr>
          <w:p w14:paraId="2CA994DB" w14:textId="77777777" w:rsidR="00411C71" w:rsidRPr="001823ED" w:rsidRDefault="00411C71" w:rsidP="00981270">
            <w:pPr>
              <w:widowControl w:val="0"/>
              <w:ind w:right="113"/>
              <w:rPr>
                <w:sz w:val="20"/>
                <w:szCs w:val="20"/>
              </w:rPr>
            </w:pPr>
            <w:r w:rsidRPr="001823ED">
              <w:rPr>
                <w:rFonts w:cs="Calibri"/>
                <w:sz w:val="20"/>
                <w:szCs w:val="20"/>
              </w:rPr>
              <w:t>Number of PTB participants</w:t>
            </w:r>
          </w:p>
        </w:tc>
        <w:tc>
          <w:tcPr>
            <w:tcW w:w="808" w:type="dxa"/>
            <w:shd w:val="clear" w:color="auto" w:fill="auto"/>
            <w:vAlign w:val="center"/>
          </w:tcPr>
          <w:p w14:paraId="00C050E8" w14:textId="77777777" w:rsidR="00411C71" w:rsidRPr="001823ED" w:rsidRDefault="00411C71" w:rsidP="00981270">
            <w:pPr>
              <w:widowControl w:val="0"/>
              <w:ind w:left="113" w:hanging="84"/>
              <w:jc w:val="center"/>
              <w:rPr>
                <w:sz w:val="20"/>
                <w:szCs w:val="20"/>
              </w:rPr>
            </w:pPr>
            <w:r w:rsidRPr="001823ED">
              <w:rPr>
                <w:rFonts w:cs="Calibri"/>
                <w:sz w:val="20"/>
                <w:szCs w:val="20"/>
              </w:rPr>
              <w:t>18</w:t>
            </w:r>
          </w:p>
        </w:tc>
        <w:tc>
          <w:tcPr>
            <w:tcW w:w="809" w:type="dxa"/>
            <w:shd w:val="clear" w:color="auto" w:fill="auto"/>
            <w:vAlign w:val="center"/>
          </w:tcPr>
          <w:p w14:paraId="6CEC825C" w14:textId="77777777" w:rsidR="00411C71" w:rsidRPr="001823ED" w:rsidRDefault="00411C71" w:rsidP="00981270">
            <w:pPr>
              <w:widowControl w:val="0"/>
              <w:ind w:left="113" w:hanging="113"/>
              <w:jc w:val="center"/>
              <w:rPr>
                <w:sz w:val="20"/>
                <w:szCs w:val="20"/>
              </w:rPr>
            </w:pPr>
            <w:r w:rsidRPr="001823ED">
              <w:rPr>
                <w:rFonts w:cs="Calibri"/>
                <w:sz w:val="20"/>
                <w:szCs w:val="20"/>
              </w:rPr>
              <w:t>15</w:t>
            </w:r>
          </w:p>
        </w:tc>
        <w:tc>
          <w:tcPr>
            <w:tcW w:w="809" w:type="dxa"/>
            <w:shd w:val="clear" w:color="auto" w:fill="auto"/>
            <w:vAlign w:val="center"/>
          </w:tcPr>
          <w:p w14:paraId="4851F876" w14:textId="77777777" w:rsidR="00411C71" w:rsidRPr="001823ED" w:rsidRDefault="00411C71" w:rsidP="00981270">
            <w:pPr>
              <w:widowControl w:val="0"/>
              <w:ind w:left="113" w:hanging="113"/>
              <w:jc w:val="center"/>
              <w:rPr>
                <w:sz w:val="20"/>
                <w:szCs w:val="20"/>
              </w:rPr>
            </w:pPr>
            <w:r w:rsidRPr="001823ED">
              <w:rPr>
                <w:rFonts w:cs="Calibri"/>
                <w:sz w:val="20"/>
                <w:szCs w:val="20"/>
              </w:rPr>
              <w:t>20</w:t>
            </w:r>
          </w:p>
        </w:tc>
        <w:tc>
          <w:tcPr>
            <w:tcW w:w="809" w:type="dxa"/>
            <w:shd w:val="clear" w:color="auto" w:fill="auto"/>
            <w:vAlign w:val="center"/>
          </w:tcPr>
          <w:p w14:paraId="0BB5A19C" w14:textId="77777777" w:rsidR="00411C71" w:rsidRPr="001823ED" w:rsidRDefault="00411C71" w:rsidP="00981270">
            <w:pPr>
              <w:widowControl w:val="0"/>
              <w:ind w:left="113" w:hanging="98"/>
              <w:jc w:val="center"/>
              <w:rPr>
                <w:sz w:val="20"/>
                <w:szCs w:val="20"/>
              </w:rPr>
            </w:pPr>
            <w:r w:rsidRPr="001823ED">
              <w:rPr>
                <w:rFonts w:cs="Calibri"/>
                <w:sz w:val="20"/>
                <w:szCs w:val="20"/>
              </w:rPr>
              <w:t>13</w:t>
            </w:r>
          </w:p>
        </w:tc>
        <w:tc>
          <w:tcPr>
            <w:tcW w:w="809" w:type="dxa"/>
            <w:shd w:val="clear" w:color="auto" w:fill="auto"/>
            <w:vAlign w:val="center"/>
          </w:tcPr>
          <w:p w14:paraId="52058FE0" w14:textId="77777777" w:rsidR="00411C71" w:rsidRPr="001823ED" w:rsidRDefault="00411C71" w:rsidP="00981270">
            <w:pPr>
              <w:widowControl w:val="0"/>
              <w:ind w:left="113" w:hanging="113"/>
              <w:jc w:val="center"/>
              <w:rPr>
                <w:sz w:val="20"/>
                <w:szCs w:val="20"/>
              </w:rPr>
            </w:pPr>
            <w:r w:rsidRPr="001823ED">
              <w:rPr>
                <w:rFonts w:cs="Calibri"/>
                <w:sz w:val="20"/>
                <w:szCs w:val="20"/>
              </w:rPr>
              <w:t>44</w:t>
            </w:r>
          </w:p>
        </w:tc>
        <w:tc>
          <w:tcPr>
            <w:tcW w:w="809" w:type="dxa"/>
            <w:shd w:val="clear" w:color="auto" w:fill="auto"/>
            <w:vAlign w:val="center"/>
          </w:tcPr>
          <w:p w14:paraId="3A6D52AD" w14:textId="77777777" w:rsidR="00411C71" w:rsidRPr="001823ED" w:rsidRDefault="00411C71" w:rsidP="00981270">
            <w:pPr>
              <w:widowControl w:val="0"/>
              <w:ind w:left="113" w:hanging="113"/>
              <w:jc w:val="center"/>
              <w:rPr>
                <w:sz w:val="20"/>
                <w:szCs w:val="20"/>
              </w:rPr>
            </w:pPr>
            <w:r w:rsidRPr="001823ED">
              <w:rPr>
                <w:rFonts w:cs="Calibri"/>
                <w:sz w:val="20"/>
                <w:szCs w:val="20"/>
              </w:rPr>
              <w:t>50</w:t>
            </w:r>
          </w:p>
        </w:tc>
        <w:tc>
          <w:tcPr>
            <w:tcW w:w="809" w:type="dxa"/>
            <w:shd w:val="clear" w:color="auto" w:fill="auto"/>
            <w:vAlign w:val="center"/>
          </w:tcPr>
          <w:p w14:paraId="0F098992" w14:textId="77777777" w:rsidR="00411C71" w:rsidRPr="001823ED" w:rsidRDefault="00411C71" w:rsidP="00981270">
            <w:pPr>
              <w:widowControl w:val="0"/>
              <w:ind w:left="113" w:hanging="113"/>
              <w:jc w:val="center"/>
              <w:rPr>
                <w:sz w:val="20"/>
                <w:szCs w:val="20"/>
              </w:rPr>
            </w:pPr>
            <w:r w:rsidRPr="001823ED">
              <w:rPr>
                <w:rFonts w:cs="Calibri"/>
                <w:sz w:val="20"/>
                <w:szCs w:val="20"/>
              </w:rPr>
              <w:t>24</w:t>
            </w:r>
          </w:p>
        </w:tc>
        <w:tc>
          <w:tcPr>
            <w:tcW w:w="809" w:type="dxa"/>
            <w:shd w:val="clear" w:color="auto" w:fill="auto"/>
            <w:vAlign w:val="center"/>
          </w:tcPr>
          <w:p w14:paraId="7BEF6DE4" w14:textId="77777777" w:rsidR="00411C71" w:rsidRPr="001823ED" w:rsidRDefault="00411C71" w:rsidP="00981270">
            <w:pPr>
              <w:widowControl w:val="0"/>
              <w:ind w:left="113" w:hanging="113"/>
              <w:jc w:val="center"/>
              <w:rPr>
                <w:sz w:val="20"/>
                <w:szCs w:val="20"/>
              </w:rPr>
            </w:pPr>
            <w:r w:rsidRPr="001823ED">
              <w:rPr>
                <w:rFonts w:cs="Calibri"/>
                <w:sz w:val="20"/>
                <w:szCs w:val="20"/>
              </w:rPr>
              <w:t>46</w:t>
            </w:r>
          </w:p>
        </w:tc>
        <w:tc>
          <w:tcPr>
            <w:tcW w:w="809" w:type="dxa"/>
            <w:shd w:val="clear" w:color="auto" w:fill="auto"/>
            <w:vAlign w:val="center"/>
          </w:tcPr>
          <w:p w14:paraId="2B57CB73" w14:textId="77777777" w:rsidR="00411C71" w:rsidRPr="001823ED" w:rsidRDefault="00411C71" w:rsidP="00981270">
            <w:pPr>
              <w:widowControl w:val="0"/>
              <w:ind w:left="113" w:hanging="113"/>
              <w:jc w:val="center"/>
              <w:rPr>
                <w:sz w:val="20"/>
                <w:szCs w:val="20"/>
              </w:rPr>
            </w:pPr>
            <w:r w:rsidRPr="001823ED">
              <w:rPr>
                <w:rFonts w:cs="Calibri"/>
                <w:sz w:val="20"/>
                <w:szCs w:val="20"/>
              </w:rPr>
              <w:t>94</w:t>
            </w:r>
          </w:p>
        </w:tc>
        <w:tc>
          <w:tcPr>
            <w:tcW w:w="809" w:type="dxa"/>
            <w:shd w:val="clear" w:color="auto" w:fill="auto"/>
            <w:vAlign w:val="center"/>
          </w:tcPr>
          <w:p w14:paraId="6224CBEC" w14:textId="77777777" w:rsidR="00411C71" w:rsidRPr="001823ED" w:rsidRDefault="00411C71" w:rsidP="00981270">
            <w:pPr>
              <w:widowControl w:val="0"/>
              <w:ind w:left="113" w:right="45" w:hanging="113"/>
              <w:jc w:val="center"/>
              <w:rPr>
                <w:sz w:val="20"/>
                <w:szCs w:val="20"/>
              </w:rPr>
            </w:pPr>
            <w:r w:rsidRPr="001823ED">
              <w:rPr>
                <w:rFonts w:cs="Calibri"/>
                <w:sz w:val="20"/>
                <w:szCs w:val="20"/>
              </w:rPr>
              <w:t>60</w:t>
            </w:r>
          </w:p>
        </w:tc>
        <w:tc>
          <w:tcPr>
            <w:tcW w:w="809" w:type="dxa"/>
            <w:shd w:val="clear" w:color="auto" w:fill="auto"/>
            <w:vAlign w:val="center"/>
          </w:tcPr>
          <w:p w14:paraId="38B01213" w14:textId="77777777" w:rsidR="00411C71" w:rsidRPr="001823ED" w:rsidRDefault="00411C71" w:rsidP="00981270">
            <w:pPr>
              <w:widowControl w:val="0"/>
              <w:ind w:left="113" w:right="5" w:hanging="88"/>
              <w:jc w:val="center"/>
              <w:rPr>
                <w:sz w:val="20"/>
                <w:szCs w:val="20"/>
              </w:rPr>
            </w:pPr>
            <w:r w:rsidRPr="001823ED">
              <w:rPr>
                <w:rFonts w:cs="Calibri"/>
                <w:sz w:val="20"/>
                <w:szCs w:val="20"/>
              </w:rPr>
              <w:t>107</w:t>
            </w:r>
          </w:p>
        </w:tc>
        <w:tc>
          <w:tcPr>
            <w:tcW w:w="809" w:type="dxa"/>
            <w:shd w:val="clear" w:color="auto" w:fill="auto"/>
            <w:vAlign w:val="center"/>
          </w:tcPr>
          <w:p w14:paraId="55B2279C" w14:textId="77777777" w:rsidR="00411C71" w:rsidRPr="001823ED" w:rsidRDefault="00411C71" w:rsidP="00981270">
            <w:pPr>
              <w:widowControl w:val="0"/>
              <w:ind w:left="113" w:hanging="113"/>
              <w:jc w:val="center"/>
              <w:rPr>
                <w:sz w:val="20"/>
                <w:szCs w:val="20"/>
              </w:rPr>
            </w:pPr>
            <w:r w:rsidRPr="001823ED">
              <w:rPr>
                <w:rFonts w:cs="Calibri"/>
                <w:sz w:val="20"/>
                <w:szCs w:val="20"/>
              </w:rPr>
              <w:t>45</w:t>
            </w:r>
          </w:p>
        </w:tc>
      </w:tr>
      <w:tr w:rsidR="005F07B5" w:rsidRPr="001823ED" w14:paraId="074659DB" w14:textId="77777777" w:rsidTr="00981270">
        <w:trPr>
          <w:cantSplit/>
          <w:trHeight w:val="366"/>
        </w:trPr>
        <w:tc>
          <w:tcPr>
            <w:tcW w:w="1128" w:type="dxa"/>
            <w:vMerge/>
            <w:shd w:val="clear" w:color="auto" w:fill="auto"/>
            <w:textDirection w:val="btLr"/>
          </w:tcPr>
          <w:p w14:paraId="43CFDEE3" w14:textId="77777777" w:rsidR="00411C71" w:rsidRPr="001823ED" w:rsidRDefault="00411C71" w:rsidP="00981270">
            <w:pPr>
              <w:widowControl w:val="0"/>
              <w:ind w:left="113" w:right="113" w:firstLine="360"/>
            </w:pPr>
          </w:p>
        </w:tc>
        <w:tc>
          <w:tcPr>
            <w:tcW w:w="3264" w:type="dxa"/>
            <w:shd w:val="clear" w:color="auto" w:fill="auto"/>
            <w:vAlign w:val="center"/>
          </w:tcPr>
          <w:p w14:paraId="18A68222" w14:textId="77777777" w:rsidR="00411C71" w:rsidRPr="001823ED" w:rsidRDefault="00411C71" w:rsidP="00981270">
            <w:pPr>
              <w:widowControl w:val="0"/>
              <w:ind w:right="113"/>
              <w:rPr>
                <w:rFonts w:cs="Calibri"/>
                <w:sz w:val="20"/>
                <w:szCs w:val="20"/>
              </w:rPr>
            </w:pPr>
            <w:r w:rsidRPr="001823ED">
              <w:rPr>
                <w:rFonts w:cs="Calibri"/>
                <w:sz w:val="20"/>
                <w:szCs w:val="20"/>
              </w:rPr>
              <w:t>Inclusion of sPTB cases</w:t>
            </w:r>
          </w:p>
        </w:tc>
        <w:tc>
          <w:tcPr>
            <w:tcW w:w="808" w:type="dxa"/>
            <w:shd w:val="clear" w:color="auto" w:fill="auto"/>
            <w:vAlign w:val="center"/>
          </w:tcPr>
          <w:p w14:paraId="46DB19C2" w14:textId="77777777" w:rsidR="00411C71" w:rsidRPr="001823ED" w:rsidRDefault="00411C71" w:rsidP="00981270">
            <w:pPr>
              <w:widowControl w:val="0"/>
              <w:ind w:hanging="84"/>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5E780549"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3D6FAB3E"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0094EAE" w14:textId="77777777" w:rsidR="00411C71" w:rsidRPr="001823ED" w:rsidRDefault="00411C71" w:rsidP="00981270">
            <w:pPr>
              <w:widowControl w:val="0"/>
              <w:ind w:hanging="9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01C24EF"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52C18F62"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6A690B0"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F099EE9"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F22047F"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7134A49" w14:textId="77777777" w:rsidR="00411C71" w:rsidRPr="001823ED" w:rsidRDefault="00411C71" w:rsidP="00981270">
            <w:pPr>
              <w:widowControl w:val="0"/>
              <w:ind w:right="45"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6A15BDAA" w14:textId="77777777" w:rsidR="00411C71" w:rsidRPr="001823ED" w:rsidRDefault="00411C71" w:rsidP="00981270">
            <w:pPr>
              <w:widowControl w:val="0"/>
              <w:ind w:right="5" w:hanging="8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5F1A1938"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5F07B5" w:rsidRPr="001823ED" w14:paraId="57380E1A" w14:textId="77777777" w:rsidTr="00981270">
        <w:trPr>
          <w:cantSplit/>
          <w:trHeight w:val="366"/>
        </w:trPr>
        <w:tc>
          <w:tcPr>
            <w:tcW w:w="1128" w:type="dxa"/>
            <w:vMerge/>
            <w:shd w:val="clear" w:color="auto" w:fill="auto"/>
            <w:textDirection w:val="btLr"/>
          </w:tcPr>
          <w:p w14:paraId="30F1D83D" w14:textId="77777777" w:rsidR="00411C71" w:rsidRPr="001823ED" w:rsidRDefault="00411C71" w:rsidP="00981270">
            <w:pPr>
              <w:widowControl w:val="0"/>
              <w:ind w:left="113" w:right="113" w:firstLine="360"/>
            </w:pPr>
          </w:p>
        </w:tc>
        <w:tc>
          <w:tcPr>
            <w:tcW w:w="3264" w:type="dxa"/>
            <w:shd w:val="clear" w:color="auto" w:fill="auto"/>
            <w:vAlign w:val="center"/>
          </w:tcPr>
          <w:p w14:paraId="4901600C" w14:textId="77777777" w:rsidR="00411C71" w:rsidRPr="001823ED" w:rsidRDefault="00411C71" w:rsidP="00981270">
            <w:pPr>
              <w:widowControl w:val="0"/>
              <w:ind w:right="113"/>
              <w:rPr>
                <w:rFonts w:cs="Calibri"/>
                <w:sz w:val="20"/>
                <w:szCs w:val="20"/>
              </w:rPr>
            </w:pPr>
            <w:r w:rsidRPr="001823ED">
              <w:rPr>
                <w:rFonts w:cs="Calibri"/>
                <w:sz w:val="20"/>
                <w:szCs w:val="20"/>
              </w:rPr>
              <w:t>Inclusion of PPROM cases</w:t>
            </w:r>
          </w:p>
        </w:tc>
        <w:tc>
          <w:tcPr>
            <w:tcW w:w="808" w:type="dxa"/>
            <w:shd w:val="clear" w:color="auto" w:fill="auto"/>
            <w:vAlign w:val="center"/>
          </w:tcPr>
          <w:p w14:paraId="54CE7590" w14:textId="77777777" w:rsidR="00411C71" w:rsidRPr="001823ED" w:rsidRDefault="00411C71" w:rsidP="00981270">
            <w:pPr>
              <w:widowControl w:val="0"/>
              <w:ind w:hanging="84"/>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F8100EA" w14:textId="77777777" w:rsidR="00411C71" w:rsidRPr="001823ED" w:rsidRDefault="00411C71" w:rsidP="00981270">
            <w:pPr>
              <w:widowControl w:val="0"/>
              <w:ind w:hanging="113"/>
              <w:jc w:val="center"/>
              <w:rPr>
                <w:rFonts w:cs="Segoe UI Symbol"/>
                <w:sz w:val="20"/>
                <w:szCs w:val="20"/>
              </w:rPr>
            </w:pPr>
            <w:r w:rsidRPr="001823ED">
              <w:rPr>
                <w:rFonts w:ascii="Segoe UI Symbol" w:hAnsi="Segoe UI Symbol" w:cs="Segoe UI Symbol"/>
                <w:b/>
                <w:bCs/>
                <w:sz w:val="20"/>
                <w:szCs w:val="20"/>
              </w:rPr>
              <w:t>✓</w:t>
            </w:r>
          </w:p>
        </w:tc>
        <w:tc>
          <w:tcPr>
            <w:tcW w:w="809" w:type="dxa"/>
            <w:shd w:val="clear" w:color="auto" w:fill="D9D9D9"/>
            <w:vAlign w:val="center"/>
          </w:tcPr>
          <w:p w14:paraId="630CBE30" w14:textId="77777777" w:rsidR="00411C71" w:rsidRPr="001823ED" w:rsidRDefault="00411C71" w:rsidP="00981270">
            <w:pPr>
              <w:widowControl w:val="0"/>
              <w:ind w:left="113" w:hanging="113"/>
              <w:jc w:val="center"/>
              <w:rPr>
                <w:rFonts w:cs="Segoe UI Symbol"/>
                <w:b/>
                <w:bCs/>
                <w:sz w:val="20"/>
                <w:szCs w:val="20"/>
              </w:rPr>
            </w:pPr>
          </w:p>
        </w:tc>
        <w:tc>
          <w:tcPr>
            <w:tcW w:w="809" w:type="dxa"/>
            <w:shd w:val="clear" w:color="auto" w:fill="auto"/>
            <w:vAlign w:val="center"/>
          </w:tcPr>
          <w:p w14:paraId="7AE92594" w14:textId="77777777" w:rsidR="00411C71" w:rsidRPr="001823ED" w:rsidRDefault="00411C71" w:rsidP="00981270">
            <w:pPr>
              <w:widowControl w:val="0"/>
              <w:ind w:hanging="98"/>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5D539F6B"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6C17A110" w14:textId="77777777" w:rsidR="00411C71" w:rsidRPr="001823ED" w:rsidRDefault="00411C71" w:rsidP="00981270">
            <w:pPr>
              <w:widowControl w:val="0"/>
              <w:ind w:hanging="113"/>
              <w:jc w:val="center"/>
              <w:rPr>
                <w:rFonts w:cs="Segoe UI Symbol"/>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18AD0CE" w14:textId="77777777" w:rsidR="00411C71" w:rsidRPr="001823ED" w:rsidRDefault="00411C71" w:rsidP="00981270">
            <w:pPr>
              <w:widowControl w:val="0"/>
              <w:ind w:hanging="113"/>
              <w:jc w:val="center"/>
              <w:rPr>
                <w:rFonts w:cs="Segoe UI Symbol"/>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2579618E"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D9D9D9"/>
            <w:vAlign w:val="center"/>
          </w:tcPr>
          <w:p w14:paraId="3CA03B95" w14:textId="77777777" w:rsidR="00411C71" w:rsidRPr="001823ED" w:rsidRDefault="00411C71" w:rsidP="00981270">
            <w:pPr>
              <w:widowControl w:val="0"/>
              <w:ind w:left="113" w:hanging="113"/>
              <w:jc w:val="center"/>
              <w:rPr>
                <w:rFonts w:cs="Segoe UI Symbol"/>
                <w:b/>
                <w:bCs/>
                <w:sz w:val="20"/>
                <w:szCs w:val="20"/>
              </w:rPr>
            </w:pPr>
          </w:p>
        </w:tc>
        <w:tc>
          <w:tcPr>
            <w:tcW w:w="809" w:type="dxa"/>
            <w:shd w:val="clear" w:color="auto" w:fill="auto"/>
            <w:vAlign w:val="center"/>
          </w:tcPr>
          <w:p w14:paraId="6A1AA967" w14:textId="77777777" w:rsidR="00411C71" w:rsidRPr="001823ED" w:rsidRDefault="00411C71" w:rsidP="00981270">
            <w:pPr>
              <w:widowControl w:val="0"/>
              <w:ind w:right="45"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BE1D24D" w14:textId="77777777" w:rsidR="00411C71" w:rsidRPr="001823ED" w:rsidRDefault="00411C71" w:rsidP="00981270">
            <w:pPr>
              <w:widowControl w:val="0"/>
              <w:ind w:right="5" w:hanging="88"/>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14D8D71"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r>
      <w:tr w:rsidR="005F07B5" w:rsidRPr="001823ED" w14:paraId="5AC61DB9" w14:textId="77777777" w:rsidTr="00981270">
        <w:trPr>
          <w:cantSplit/>
          <w:trHeight w:val="366"/>
        </w:trPr>
        <w:tc>
          <w:tcPr>
            <w:tcW w:w="1128" w:type="dxa"/>
            <w:vMerge/>
            <w:shd w:val="clear" w:color="auto" w:fill="auto"/>
            <w:textDirection w:val="btLr"/>
          </w:tcPr>
          <w:p w14:paraId="1C81E46C" w14:textId="77777777" w:rsidR="00411C71" w:rsidRPr="001823ED" w:rsidRDefault="00411C71" w:rsidP="00981270">
            <w:pPr>
              <w:widowControl w:val="0"/>
              <w:ind w:left="113" w:right="113" w:firstLine="360"/>
            </w:pPr>
          </w:p>
        </w:tc>
        <w:tc>
          <w:tcPr>
            <w:tcW w:w="3264" w:type="dxa"/>
            <w:shd w:val="clear" w:color="auto" w:fill="auto"/>
            <w:vAlign w:val="center"/>
          </w:tcPr>
          <w:p w14:paraId="3E24C911" w14:textId="77777777" w:rsidR="00411C71" w:rsidRPr="001823ED" w:rsidRDefault="00411C71" w:rsidP="00981270">
            <w:pPr>
              <w:widowControl w:val="0"/>
              <w:ind w:right="113"/>
              <w:rPr>
                <w:rFonts w:cs="Calibri"/>
                <w:sz w:val="20"/>
                <w:szCs w:val="20"/>
              </w:rPr>
            </w:pPr>
            <w:r w:rsidRPr="001823ED">
              <w:rPr>
                <w:rFonts w:cs="Calibri"/>
                <w:sz w:val="20"/>
                <w:szCs w:val="20"/>
              </w:rPr>
              <w:t>Inclusion of medically indicated PTB</w:t>
            </w:r>
          </w:p>
        </w:tc>
        <w:tc>
          <w:tcPr>
            <w:tcW w:w="808" w:type="dxa"/>
            <w:shd w:val="clear" w:color="auto" w:fill="auto"/>
            <w:vAlign w:val="center"/>
          </w:tcPr>
          <w:p w14:paraId="2442761B" w14:textId="77777777" w:rsidR="00411C71" w:rsidRPr="001823ED" w:rsidRDefault="00411C71" w:rsidP="00981270">
            <w:pPr>
              <w:widowControl w:val="0"/>
              <w:ind w:hanging="84"/>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24B9B6FD"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3ADBED6"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3B7ED0B0" w14:textId="77777777" w:rsidR="00411C71" w:rsidRPr="001823ED" w:rsidRDefault="00411C71" w:rsidP="00981270">
            <w:pPr>
              <w:widowControl w:val="0"/>
              <w:ind w:hanging="98"/>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0B18CB94"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5146A5DC"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E55D280"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5D79295A"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0C344C06"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4D552BFD" w14:textId="77777777" w:rsidR="00411C71" w:rsidRPr="001823ED" w:rsidRDefault="00411C71" w:rsidP="00981270">
            <w:pPr>
              <w:widowControl w:val="0"/>
              <w:ind w:right="45" w:hanging="113"/>
              <w:jc w:val="center"/>
              <w:rPr>
                <w:rFonts w:cs="Segoe UI Symbol"/>
                <w:sz w:val="20"/>
                <w:szCs w:val="20"/>
              </w:rPr>
            </w:pPr>
            <w:r w:rsidRPr="001823ED">
              <w:rPr>
                <w:rFonts w:ascii="Segoe UI Symbol" w:hAnsi="Segoe UI Symbol" w:cs="Segoe UI Symbol"/>
                <w:sz w:val="20"/>
                <w:szCs w:val="20"/>
              </w:rPr>
              <w:t>✘</w:t>
            </w:r>
          </w:p>
        </w:tc>
        <w:tc>
          <w:tcPr>
            <w:tcW w:w="809" w:type="dxa"/>
            <w:shd w:val="clear" w:color="auto" w:fill="auto"/>
            <w:vAlign w:val="center"/>
          </w:tcPr>
          <w:p w14:paraId="57857063" w14:textId="77777777" w:rsidR="00411C71" w:rsidRPr="001823ED" w:rsidRDefault="00411C71" w:rsidP="00981270">
            <w:pPr>
              <w:widowControl w:val="0"/>
              <w:ind w:right="5" w:hanging="88"/>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vAlign w:val="center"/>
          </w:tcPr>
          <w:p w14:paraId="353559E3" w14:textId="77777777" w:rsidR="00411C71" w:rsidRPr="001823ED" w:rsidRDefault="00411C71" w:rsidP="00981270">
            <w:pPr>
              <w:widowControl w:val="0"/>
              <w:ind w:hanging="113"/>
              <w:jc w:val="center"/>
              <w:rPr>
                <w:rFonts w:cs="Segoe UI Symbol"/>
                <w:b/>
                <w:bCs/>
                <w:sz w:val="20"/>
                <w:szCs w:val="20"/>
              </w:rPr>
            </w:pPr>
            <w:r w:rsidRPr="001823ED">
              <w:rPr>
                <w:rFonts w:ascii="Segoe UI Symbol" w:hAnsi="Segoe UI Symbol" w:cs="Segoe UI Symbol"/>
                <w:sz w:val="20"/>
                <w:szCs w:val="20"/>
              </w:rPr>
              <w:t>✘</w:t>
            </w:r>
          </w:p>
        </w:tc>
      </w:tr>
      <w:tr w:rsidR="005F07B5" w:rsidRPr="001823ED" w14:paraId="2E6B981C" w14:textId="77777777" w:rsidTr="00981270">
        <w:trPr>
          <w:cantSplit/>
          <w:trHeight w:val="366"/>
        </w:trPr>
        <w:tc>
          <w:tcPr>
            <w:tcW w:w="1128" w:type="dxa"/>
            <w:vMerge/>
            <w:shd w:val="clear" w:color="auto" w:fill="auto"/>
          </w:tcPr>
          <w:p w14:paraId="7D6F2E40" w14:textId="77777777" w:rsidR="00411C71" w:rsidRPr="001823ED" w:rsidRDefault="00411C71" w:rsidP="00981270">
            <w:pPr>
              <w:widowControl w:val="0"/>
              <w:ind w:left="113" w:right="113" w:firstLine="360"/>
            </w:pPr>
          </w:p>
        </w:tc>
        <w:tc>
          <w:tcPr>
            <w:tcW w:w="3264" w:type="dxa"/>
            <w:shd w:val="clear" w:color="auto" w:fill="auto"/>
            <w:vAlign w:val="center"/>
          </w:tcPr>
          <w:p w14:paraId="2D4E4A9B" w14:textId="77777777" w:rsidR="00411C71" w:rsidRPr="001823ED" w:rsidRDefault="00411C71" w:rsidP="00981270">
            <w:pPr>
              <w:widowControl w:val="0"/>
              <w:ind w:right="113"/>
              <w:rPr>
                <w:sz w:val="20"/>
                <w:szCs w:val="20"/>
              </w:rPr>
            </w:pPr>
            <w:r w:rsidRPr="001823ED">
              <w:rPr>
                <w:rFonts w:cs="Calibri"/>
                <w:sz w:val="20"/>
                <w:szCs w:val="20"/>
              </w:rPr>
              <w:t>Percent of PTB under 34 weeks</w:t>
            </w:r>
          </w:p>
        </w:tc>
        <w:tc>
          <w:tcPr>
            <w:tcW w:w="808" w:type="dxa"/>
            <w:shd w:val="clear" w:color="auto" w:fill="auto"/>
            <w:vAlign w:val="center"/>
          </w:tcPr>
          <w:p w14:paraId="2F90F1CE" w14:textId="77777777" w:rsidR="00411C71" w:rsidRPr="001823ED" w:rsidRDefault="00411C71" w:rsidP="00981270">
            <w:pPr>
              <w:widowControl w:val="0"/>
              <w:ind w:left="113" w:hanging="84"/>
              <w:jc w:val="center"/>
              <w:rPr>
                <w:sz w:val="20"/>
                <w:szCs w:val="20"/>
              </w:rPr>
            </w:pPr>
            <w:r w:rsidRPr="001823ED">
              <w:rPr>
                <w:rFonts w:cs="Calibri"/>
                <w:sz w:val="20"/>
                <w:szCs w:val="20"/>
              </w:rPr>
              <w:t>100%</w:t>
            </w:r>
          </w:p>
        </w:tc>
        <w:tc>
          <w:tcPr>
            <w:tcW w:w="809" w:type="dxa"/>
            <w:shd w:val="clear" w:color="auto" w:fill="auto"/>
            <w:vAlign w:val="center"/>
          </w:tcPr>
          <w:p w14:paraId="669928FA" w14:textId="77777777" w:rsidR="00411C71" w:rsidRPr="001823ED" w:rsidRDefault="00411C71" w:rsidP="00981270">
            <w:pPr>
              <w:widowControl w:val="0"/>
              <w:ind w:left="113" w:hanging="113"/>
              <w:jc w:val="center"/>
              <w:rPr>
                <w:sz w:val="20"/>
                <w:szCs w:val="20"/>
              </w:rPr>
            </w:pPr>
            <w:r w:rsidRPr="001823ED">
              <w:rPr>
                <w:rFonts w:cs="Calibri"/>
                <w:sz w:val="20"/>
                <w:szCs w:val="20"/>
              </w:rPr>
              <w:t>20%</w:t>
            </w:r>
          </w:p>
        </w:tc>
        <w:tc>
          <w:tcPr>
            <w:tcW w:w="809" w:type="dxa"/>
            <w:shd w:val="clear" w:color="auto" w:fill="auto"/>
            <w:vAlign w:val="center"/>
          </w:tcPr>
          <w:p w14:paraId="7C37ED08" w14:textId="77777777" w:rsidR="00A21533" w:rsidRPr="001823ED" w:rsidRDefault="00A21533" w:rsidP="00981270">
            <w:pPr>
              <w:widowControl w:val="0"/>
              <w:ind w:left="113" w:hanging="113"/>
              <w:jc w:val="center"/>
              <w:rPr>
                <w:rFonts w:cs="Calibri"/>
                <w:sz w:val="20"/>
                <w:szCs w:val="20"/>
              </w:rPr>
            </w:pPr>
            <w:r w:rsidRPr="001823ED">
              <w:rPr>
                <w:rFonts w:cs="Calibri"/>
                <w:sz w:val="20"/>
                <w:szCs w:val="20"/>
              </w:rPr>
              <w:t>100%</w:t>
            </w:r>
          </w:p>
          <w:p w14:paraId="1CC5E10E" w14:textId="6E4F8897" w:rsidR="00411C71" w:rsidRPr="001823ED" w:rsidRDefault="00411C71" w:rsidP="00981270">
            <w:pPr>
              <w:widowControl w:val="0"/>
              <w:ind w:left="113" w:hanging="113"/>
              <w:jc w:val="center"/>
              <w:rPr>
                <w:sz w:val="20"/>
                <w:szCs w:val="20"/>
              </w:rPr>
            </w:pPr>
            <w:r w:rsidRPr="001823ED">
              <w:rPr>
                <w:rFonts w:cs="Calibri"/>
                <w:sz w:val="16"/>
                <w:szCs w:val="16"/>
              </w:rPr>
              <w:t>(&lt;35)</w:t>
            </w:r>
          </w:p>
        </w:tc>
        <w:tc>
          <w:tcPr>
            <w:tcW w:w="809" w:type="dxa"/>
            <w:shd w:val="clear" w:color="auto" w:fill="D9D9D9"/>
            <w:vAlign w:val="center"/>
          </w:tcPr>
          <w:p w14:paraId="6E578E94" w14:textId="77777777" w:rsidR="00411C71" w:rsidRPr="001823ED" w:rsidRDefault="00411C71" w:rsidP="00981270">
            <w:pPr>
              <w:widowControl w:val="0"/>
              <w:ind w:left="113" w:hanging="98"/>
              <w:jc w:val="center"/>
              <w:rPr>
                <w:sz w:val="20"/>
                <w:szCs w:val="20"/>
              </w:rPr>
            </w:pPr>
          </w:p>
        </w:tc>
        <w:tc>
          <w:tcPr>
            <w:tcW w:w="809" w:type="dxa"/>
            <w:shd w:val="clear" w:color="auto" w:fill="auto"/>
            <w:vAlign w:val="center"/>
          </w:tcPr>
          <w:p w14:paraId="3005C252" w14:textId="77777777" w:rsidR="00411C71" w:rsidRPr="001823ED" w:rsidRDefault="00411C71" w:rsidP="00981270">
            <w:pPr>
              <w:widowControl w:val="0"/>
              <w:ind w:left="113" w:hanging="113"/>
              <w:jc w:val="center"/>
              <w:rPr>
                <w:sz w:val="20"/>
                <w:szCs w:val="20"/>
              </w:rPr>
            </w:pPr>
            <w:r w:rsidRPr="001823ED">
              <w:rPr>
                <w:rFonts w:cs="Calibri"/>
                <w:sz w:val="20"/>
                <w:szCs w:val="20"/>
              </w:rPr>
              <w:t>52%</w:t>
            </w:r>
          </w:p>
        </w:tc>
        <w:tc>
          <w:tcPr>
            <w:tcW w:w="809" w:type="dxa"/>
            <w:shd w:val="clear" w:color="auto" w:fill="auto"/>
            <w:vAlign w:val="center"/>
          </w:tcPr>
          <w:p w14:paraId="67FC95AF" w14:textId="77777777" w:rsidR="00411C71" w:rsidRPr="001823ED" w:rsidRDefault="00411C71" w:rsidP="00981270">
            <w:pPr>
              <w:widowControl w:val="0"/>
              <w:ind w:left="113" w:hanging="113"/>
              <w:jc w:val="center"/>
              <w:rPr>
                <w:sz w:val="20"/>
                <w:szCs w:val="20"/>
              </w:rPr>
            </w:pPr>
            <w:r w:rsidRPr="001823ED">
              <w:rPr>
                <w:rFonts w:cs="Calibri"/>
                <w:sz w:val="20"/>
                <w:szCs w:val="20"/>
              </w:rPr>
              <w:t>58%</w:t>
            </w:r>
          </w:p>
        </w:tc>
        <w:tc>
          <w:tcPr>
            <w:tcW w:w="809" w:type="dxa"/>
            <w:shd w:val="clear" w:color="auto" w:fill="auto"/>
            <w:vAlign w:val="center"/>
          </w:tcPr>
          <w:p w14:paraId="600748DE" w14:textId="77777777" w:rsidR="00411C71" w:rsidRPr="001823ED" w:rsidRDefault="00411C71" w:rsidP="00981270">
            <w:pPr>
              <w:widowControl w:val="0"/>
              <w:ind w:left="113" w:hanging="113"/>
              <w:jc w:val="center"/>
              <w:rPr>
                <w:sz w:val="20"/>
                <w:szCs w:val="20"/>
              </w:rPr>
            </w:pPr>
            <w:r w:rsidRPr="001823ED">
              <w:rPr>
                <w:rFonts w:cs="Calibri"/>
                <w:sz w:val="20"/>
                <w:szCs w:val="20"/>
              </w:rPr>
              <w:t>33%</w:t>
            </w:r>
          </w:p>
        </w:tc>
        <w:tc>
          <w:tcPr>
            <w:tcW w:w="809" w:type="dxa"/>
            <w:shd w:val="clear" w:color="auto" w:fill="auto"/>
            <w:vAlign w:val="center"/>
          </w:tcPr>
          <w:p w14:paraId="128354E0" w14:textId="77777777" w:rsidR="00411C71" w:rsidRPr="001823ED" w:rsidRDefault="00411C71" w:rsidP="00981270">
            <w:pPr>
              <w:widowControl w:val="0"/>
              <w:ind w:left="113" w:hanging="113"/>
              <w:jc w:val="center"/>
              <w:rPr>
                <w:rFonts w:cs="Arial"/>
                <w:sz w:val="20"/>
                <w:szCs w:val="20"/>
                <w:shd w:val="clear" w:color="auto" w:fill="FFFFFF"/>
              </w:rPr>
            </w:pPr>
            <w:r w:rsidRPr="001823ED">
              <w:rPr>
                <w:rFonts w:cs="Arial"/>
                <w:sz w:val="20"/>
                <w:szCs w:val="20"/>
                <w:shd w:val="clear" w:color="auto" w:fill="FFFFFF"/>
              </w:rPr>
              <w:t>13%</w:t>
            </w:r>
          </w:p>
          <w:p w14:paraId="535BE240" w14:textId="77777777" w:rsidR="00411C71" w:rsidRPr="001823ED" w:rsidRDefault="00411C71" w:rsidP="00981270">
            <w:pPr>
              <w:widowControl w:val="0"/>
              <w:ind w:left="113" w:hanging="113"/>
              <w:jc w:val="center"/>
              <w:rPr>
                <w:sz w:val="16"/>
                <w:szCs w:val="16"/>
              </w:rPr>
            </w:pPr>
            <w:r w:rsidRPr="001823ED">
              <w:rPr>
                <w:rFonts w:cs="Arial"/>
                <w:sz w:val="16"/>
                <w:szCs w:val="16"/>
                <w:shd w:val="clear" w:color="auto" w:fill="FFFFFF"/>
              </w:rPr>
              <w:t>(&lt;32)</w:t>
            </w:r>
          </w:p>
        </w:tc>
        <w:tc>
          <w:tcPr>
            <w:tcW w:w="809" w:type="dxa"/>
            <w:shd w:val="clear" w:color="auto" w:fill="auto"/>
            <w:vAlign w:val="center"/>
          </w:tcPr>
          <w:p w14:paraId="07039908" w14:textId="77777777" w:rsidR="00411C71" w:rsidRPr="001823ED" w:rsidRDefault="00411C71" w:rsidP="00981270">
            <w:pPr>
              <w:widowControl w:val="0"/>
              <w:ind w:left="113" w:hanging="113"/>
              <w:jc w:val="center"/>
              <w:rPr>
                <w:sz w:val="20"/>
                <w:szCs w:val="20"/>
              </w:rPr>
            </w:pPr>
            <w:r w:rsidRPr="001823ED">
              <w:rPr>
                <w:rFonts w:cs="Calibri"/>
                <w:sz w:val="20"/>
                <w:szCs w:val="20"/>
              </w:rPr>
              <w:t>18%</w:t>
            </w:r>
          </w:p>
        </w:tc>
        <w:tc>
          <w:tcPr>
            <w:tcW w:w="809" w:type="dxa"/>
            <w:shd w:val="clear" w:color="auto" w:fill="D9D9D9"/>
            <w:vAlign w:val="center"/>
          </w:tcPr>
          <w:p w14:paraId="30126AF9" w14:textId="77777777" w:rsidR="00411C71" w:rsidRPr="001823ED" w:rsidRDefault="00411C71" w:rsidP="00981270">
            <w:pPr>
              <w:widowControl w:val="0"/>
              <w:ind w:left="113" w:right="45" w:hanging="113"/>
              <w:jc w:val="center"/>
              <w:rPr>
                <w:sz w:val="20"/>
                <w:szCs w:val="20"/>
              </w:rPr>
            </w:pPr>
          </w:p>
        </w:tc>
        <w:tc>
          <w:tcPr>
            <w:tcW w:w="809" w:type="dxa"/>
            <w:shd w:val="clear" w:color="auto" w:fill="auto"/>
            <w:vAlign w:val="center"/>
          </w:tcPr>
          <w:p w14:paraId="4D9EAC98" w14:textId="77777777" w:rsidR="00411C71" w:rsidRPr="001823ED" w:rsidRDefault="00411C71" w:rsidP="00981270">
            <w:pPr>
              <w:widowControl w:val="0"/>
              <w:ind w:right="5" w:hanging="88"/>
              <w:jc w:val="center"/>
              <w:rPr>
                <w:sz w:val="20"/>
                <w:szCs w:val="20"/>
              </w:rPr>
            </w:pPr>
            <w:r w:rsidRPr="001823ED">
              <w:rPr>
                <w:rFonts w:cs="Calibri"/>
                <w:sz w:val="20"/>
                <w:szCs w:val="20"/>
              </w:rPr>
              <w:t xml:space="preserve">75% </w:t>
            </w:r>
            <w:r w:rsidRPr="001823ED">
              <w:rPr>
                <w:rFonts w:cs="Calibri"/>
                <w:sz w:val="16"/>
                <w:szCs w:val="16"/>
              </w:rPr>
              <w:t>(&lt;35)</w:t>
            </w:r>
          </w:p>
        </w:tc>
        <w:tc>
          <w:tcPr>
            <w:tcW w:w="809" w:type="dxa"/>
            <w:shd w:val="clear" w:color="auto" w:fill="D9D9D9"/>
            <w:vAlign w:val="center"/>
          </w:tcPr>
          <w:p w14:paraId="5B5030C3" w14:textId="77777777" w:rsidR="00411C71" w:rsidRPr="001823ED" w:rsidRDefault="00411C71" w:rsidP="00981270">
            <w:pPr>
              <w:widowControl w:val="0"/>
              <w:ind w:left="113" w:hanging="113"/>
              <w:jc w:val="center"/>
              <w:rPr>
                <w:sz w:val="20"/>
                <w:szCs w:val="20"/>
              </w:rPr>
            </w:pPr>
          </w:p>
        </w:tc>
      </w:tr>
      <w:tr w:rsidR="005F07B5" w:rsidRPr="001823ED" w14:paraId="413008DA" w14:textId="77777777" w:rsidTr="00981270">
        <w:trPr>
          <w:trHeight w:val="284"/>
        </w:trPr>
        <w:tc>
          <w:tcPr>
            <w:tcW w:w="1128" w:type="dxa"/>
            <w:shd w:val="clear" w:color="auto" w:fill="auto"/>
          </w:tcPr>
          <w:p w14:paraId="70B739E5" w14:textId="77777777" w:rsidR="00411C71" w:rsidRPr="001823ED" w:rsidRDefault="00411C71" w:rsidP="00981270">
            <w:pPr>
              <w:widowControl w:val="0"/>
              <w:ind w:firstLine="360"/>
              <w:rPr>
                <w:rFonts w:cs="Calibri"/>
              </w:rPr>
            </w:pPr>
          </w:p>
        </w:tc>
        <w:tc>
          <w:tcPr>
            <w:tcW w:w="3264" w:type="dxa"/>
            <w:shd w:val="clear" w:color="auto" w:fill="auto"/>
            <w:vAlign w:val="center"/>
          </w:tcPr>
          <w:p w14:paraId="4034EA39" w14:textId="77777777" w:rsidR="00411C71" w:rsidRPr="001823ED" w:rsidRDefault="00411C71" w:rsidP="00981270">
            <w:pPr>
              <w:widowControl w:val="0"/>
              <w:rPr>
                <w:rFonts w:cs="Calibri"/>
                <w:sz w:val="20"/>
                <w:szCs w:val="20"/>
              </w:rPr>
            </w:pPr>
            <w:r w:rsidRPr="001823ED">
              <w:rPr>
                <w:rFonts w:cs="Calibri"/>
                <w:sz w:val="20"/>
                <w:szCs w:val="20"/>
              </w:rPr>
              <w:t>Gestation of sampling (weeks)</w:t>
            </w:r>
          </w:p>
        </w:tc>
        <w:tc>
          <w:tcPr>
            <w:tcW w:w="808" w:type="dxa"/>
            <w:shd w:val="clear" w:color="auto" w:fill="auto"/>
            <w:vAlign w:val="center"/>
          </w:tcPr>
          <w:p w14:paraId="490A5311" w14:textId="77777777" w:rsidR="00411C71" w:rsidRPr="001823ED" w:rsidRDefault="00411C71" w:rsidP="00981270">
            <w:pPr>
              <w:widowControl w:val="0"/>
              <w:ind w:hanging="84"/>
              <w:jc w:val="center"/>
              <w:rPr>
                <w:rFonts w:cs="Calibri"/>
                <w:sz w:val="20"/>
                <w:szCs w:val="20"/>
              </w:rPr>
            </w:pPr>
            <w:r w:rsidRPr="001823ED">
              <w:rPr>
                <w:rFonts w:cs="Calibri"/>
                <w:sz w:val="20"/>
                <w:szCs w:val="20"/>
              </w:rPr>
              <w:t>6-birth</w:t>
            </w:r>
          </w:p>
        </w:tc>
        <w:tc>
          <w:tcPr>
            <w:tcW w:w="809" w:type="dxa"/>
            <w:shd w:val="clear" w:color="auto" w:fill="auto"/>
            <w:vAlign w:val="center"/>
          </w:tcPr>
          <w:p w14:paraId="2C217C28" w14:textId="77777777" w:rsidR="00411C71" w:rsidRPr="001823ED" w:rsidRDefault="00411C71" w:rsidP="00981270">
            <w:pPr>
              <w:widowControl w:val="0"/>
              <w:ind w:hanging="113"/>
              <w:jc w:val="center"/>
              <w:rPr>
                <w:rFonts w:cs="Calibri"/>
                <w:sz w:val="20"/>
                <w:szCs w:val="20"/>
              </w:rPr>
            </w:pPr>
            <w:r w:rsidRPr="001823ED">
              <w:rPr>
                <w:rFonts w:cs="Calibri"/>
                <w:sz w:val="20"/>
                <w:szCs w:val="20"/>
              </w:rPr>
              <w:t>10-birth</w:t>
            </w:r>
          </w:p>
        </w:tc>
        <w:tc>
          <w:tcPr>
            <w:tcW w:w="809" w:type="dxa"/>
            <w:shd w:val="clear" w:color="auto" w:fill="auto"/>
            <w:vAlign w:val="center"/>
          </w:tcPr>
          <w:p w14:paraId="1BA4E13A" w14:textId="77777777" w:rsidR="00411C71" w:rsidRPr="001823ED" w:rsidRDefault="00411C71" w:rsidP="00981270">
            <w:pPr>
              <w:widowControl w:val="0"/>
              <w:ind w:hanging="113"/>
              <w:jc w:val="center"/>
              <w:rPr>
                <w:rFonts w:cs="Calibri"/>
                <w:sz w:val="20"/>
                <w:szCs w:val="20"/>
                <w:vertAlign w:val="superscript"/>
              </w:rPr>
            </w:pPr>
            <w:r w:rsidRPr="001823ED">
              <w:rPr>
                <w:sz w:val="20"/>
                <w:szCs w:val="20"/>
              </w:rPr>
              <w:t>21-25</w:t>
            </w:r>
            <w:r w:rsidRPr="001823ED">
              <w:rPr>
                <w:sz w:val="20"/>
                <w:szCs w:val="20"/>
                <w:vertAlign w:val="superscript"/>
              </w:rPr>
              <w:t>+6</w:t>
            </w:r>
          </w:p>
        </w:tc>
        <w:tc>
          <w:tcPr>
            <w:tcW w:w="809" w:type="dxa"/>
            <w:shd w:val="clear" w:color="auto" w:fill="auto"/>
            <w:vAlign w:val="center"/>
          </w:tcPr>
          <w:p w14:paraId="1F61279E" w14:textId="77777777" w:rsidR="00411C71" w:rsidRPr="001823ED" w:rsidRDefault="00411C71" w:rsidP="00981270">
            <w:pPr>
              <w:widowControl w:val="0"/>
              <w:ind w:hanging="98"/>
              <w:jc w:val="center"/>
              <w:rPr>
                <w:rFonts w:cs="Calibri"/>
                <w:sz w:val="20"/>
                <w:szCs w:val="20"/>
              </w:rPr>
            </w:pPr>
            <w:r w:rsidRPr="001823ED">
              <w:rPr>
                <w:sz w:val="20"/>
                <w:szCs w:val="20"/>
              </w:rPr>
              <w:t>9-24</w:t>
            </w:r>
          </w:p>
        </w:tc>
        <w:tc>
          <w:tcPr>
            <w:tcW w:w="809" w:type="dxa"/>
            <w:shd w:val="clear" w:color="auto" w:fill="auto"/>
            <w:vAlign w:val="center"/>
          </w:tcPr>
          <w:p w14:paraId="6D399F0E" w14:textId="77777777" w:rsidR="00411C71" w:rsidRPr="001823ED" w:rsidRDefault="00411C71" w:rsidP="00981270">
            <w:pPr>
              <w:widowControl w:val="0"/>
              <w:ind w:hanging="113"/>
              <w:jc w:val="center"/>
              <w:rPr>
                <w:rFonts w:cs="Calibri"/>
                <w:sz w:val="20"/>
                <w:szCs w:val="20"/>
              </w:rPr>
            </w:pPr>
            <w:r w:rsidRPr="001823ED">
              <w:rPr>
                <w:rFonts w:cs="Calibri"/>
                <w:sz w:val="20"/>
                <w:szCs w:val="20"/>
              </w:rPr>
              <w:t>16-34</w:t>
            </w:r>
          </w:p>
        </w:tc>
        <w:tc>
          <w:tcPr>
            <w:tcW w:w="809" w:type="dxa"/>
            <w:shd w:val="clear" w:color="auto" w:fill="auto"/>
            <w:vAlign w:val="center"/>
          </w:tcPr>
          <w:p w14:paraId="5697C0F0" w14:textId="77777777" w:rsidR="00411C71" w:rsidRPr="001823ED" w:rsidRDefault="00411C71" w:rsidP="00981270">
            <w:pPr>
              <w:widowControl w:val="0"/>
              <w:ind w:hanging="113"/>
              <w:jc w:val="center"/>
              <w:rPr>
                <w:rFonts w:cs="Calibri"/>
                <w:sz w:val="20"/>
                <w:szCs w:val="20"/>
              </w:rPr>
            </w:pPr>
            <w:r w:rsidRPr="001823ED">
              <w:rPr>
                <w:rFonts w:cs="Calibri"/>
                <w:sz w:val="20"/>
                <w:szCs w:val="20"/>
              </w:rPr>
              <w:t>6-birth</w:t>
            </w:r>
          </w:p>
        </w:tc>
        <w:tc>
          <w:tcPr>
            <w:tcW w:w="809" w:type="dxa"/>
            <w:shd w:val="clear" w:color="auto" w:fill="auto"/>
            <w:vAlign w:val="center"/>
          </w:tcPr>
          <w:p w14:paraId="16D1A3E9" w14:textId="77777777" w:rsidR="00411C71" w:rsidRPr="001823ED" w:rsidRDefault="00411C71" w:rsidP="00981270">
            <w:pPr>
              <w:widowControl w:val="0"/>
              <w:ind w:hanging="113"/>
              <w:jc w:val="center"/>
              <w:rPr>
                <w:rFonts w:cs="Calibri"/>
                <w:sz w:val="20"/>
                <w:szCs w:val="20"/>
              </w:rPr>
            </w:pPr>
            <w:r w:rsidRPr="001823ED">
              <w:rPr>
                <w:rFonts w:cs="Calibri"/>
                <w:sz w:val="20"/>
                <w:szCs w:val="20"/>
              </w:rPr>
              <w:t>6-36</w:t>
            </w:r>
          </w:p>
        </w:tc>
        <w:tc>
          <w:tcPr>
            <w:tcW w:w="809" w:type="dxa"/>
            <w:shd w:val="clear" w:color="auto" w:fill="auto"/>
            <w:vAlign w:val="center"/>
          </w:tcPr>
          <w:p w14:paraId="0389EAA1" w14:textId="77777777" w:rsidR="00411C71" w:rsidRPr="001823ED" w:rsidRDefault="00411C71" w:rsidP="00981270">
            <w:pPr>
              <w:widowControl w:val="0"/>
              <w:ind w:hanging="113"/>
              <w:jc w:val="center"/>
              <w:rPr>
                <w:rFonts w:cs="Calibri"/>
                <w:sz w:val="20"/>
                <w:szCs w:val="20"/>
              </w:rPr>
            </w:pPr>
            <w:r w:rsidRPr="001823ED">
              <w:rPr>
                <w:rFonts w:cs="Calibri"/>
                <w:sz w:val="20"/>
                <w:szCs w:val="20"/>
              </w:rPr>
              <w:t>11-16</w:t>
            </w:r>
          </w:p>
        </w:tc>
        <w:tc>
          <w:tcPr>
            <w:tcW w:w="809" w:type="dxa"/>
            <w:shd w:val="clear" w:color="auto" w:fill="auto"/>
            <w:vAlign w:val="center"/>
          </w:tcPr>
          <w:p w14:paraId="5CFAD2D1" w14:textId="77777777" w:rsidR="00411C71" w:rsidRPr="001823ED" w:rsidRDefault="00411C71" w:rsidP="00981270">
            <w:pPr>
              <w:widowControl w:val="0"/>
              <w:ind w:hanging="113"/>
              <w:jc w:val="center"/>
              <w:rPr>
                <w:rFonts w:cs="Calibri"/>
                <w:sz w:val="20"/>
                <w:szCs w:val="20"/>
                <w:vertAlign w:val="superscript"/>
              </w:rPr>
            </w:pPr>
            <w:r w:rsidRPr="001823ED">
              <w:rPr>
                <w:rFonts w:cs="Calibri"/>
                <w:sz w:val="20"/>
                <w:szCs w:val="20"/>
              </w:rPr>
              <w:t>8-13</w:t>
            </w:r>
            <w:r w:rsidRPr="001823ED">
              <w:rPr>
                <w:rFonts w:cs="Calibri"/>
                <w:sz w:val="20"/>
                <w:szCs w:val="20"/>
                <w:vertAlign w:val="superscript"/>
              </w:rPr>
              <w:t>+6</w:t>
            </w:r>
          </w:p>
        </w:tc>
        <w:tc>
          <w:tcPr>
            <w:tcW w:w="809" w:type="dxa"/>
            <w:shd w:val="clear" w:color="auto" w:fill="auto"/>
            <w:vAlign w:val="center"/>
          </w:tcPr>
          <w:p w14:paraId="1D767BD6" w14:textId="77777777" w:rsidR="00411C71" w:rsidRPr="001823ED" w:rsidRDefault="00411C71" w:rsidP="00981270">
            <w:pPr>
              <w:widowControl w:val="0"/>
              <w:ind w:right="45" w:hanging="113"/>
              <w:jc w:val="center"/>
              <w:rPr>
                <w:rFonts w:cs="Calibri"/>
                <w:sz w:val="20"/>
                <w:szCs w:val="20"/>
                <w:vertAlign w:val="superscript"/>
              </w:rPr>
            </w:pPr>
            <w:r w:rsidRPr="001823ED">
              <w:rPr>
                <w:rFonts w:cs="Calibri"/>
                <w:sz w:val="20"/>
                <w:szCs w:val="20"/>
              </w:rPr>
              <w:t>6-36</w:t>
            </w:r>
            <w:r w:rsidRPr="001823ED">
              <w:rPr>
                <w:rFonts w:cs="Calibri"/>
                <w:sz w:val="20"/>
                <w:szCs w:val="20"/>
                <w:vertAlign w:val="superscript"/>
              </w:rPr>
              <w:t>+6</w:t>
            </w:r>
          </w:p>
        </w:tc>
        <w:tc>
          <w:tcPr>
            <w:tcW w:w="809" w:type="dxa"/>
            <w:shd w:val="clear" w:color="auto" w:fill="auto"/>
            <w:vAlign w:val="center"/>
          </w:tcPr>
          <w:p w14:paraId="65798766" w14:textId="77777777" w:rsidR="00411C71" w:rsidRPr="001823ED" w:rsidRDefault="00411C71" w:rsidP="00981270">
            <w:pPr>
              <w:widowControl w:val="0"/>
              <w:ind w:right="5" w:hanging="88"/>
              <w:jc w:val="center"/>
              <w:rPr>
                <w:rFonts w:cs="Calibri"/>
                <w:sz w:val="20"/>
                <w:szCs w:val="20"/>
              </w:rPr>
            </w:pPr>
            <w:r w:rsidRPr="001823ED">
              <w:rPr>
                <w:rFonts w:cs="Calibri"/>
                <w:sz w:val="20"/>
                <w:szCs w:val="20"/>
              </w:rPr>
              <w:t>16-28</w:t>
            </w:r>
          </w:p>
        </w:tc>
        <w:tc>
          <w:tcPr>
            <w:tcW w:w="809" w:type="dxa"/>
            <w:shd w:val="clear" w:color="auto" w:fill="auto"/>
            <w:vAlign w:val="center"/>
          </w:tcPr>
          <w:p w14:paraId="024C38EA" w14:textId="77777777" w:rsidR="00411C71" w:rsidRPr="001823ED" w:rsidRDefault="00411C71" w:rsidP="00981270">
            <w:pPr>
              <w:widowControl w:val="0"/>
              <w:ind w:hanging="113"/>
              <w:jc w:val="center"/>
              <w:rPr>
                <w:rFonts w:cs="Calibri"/>
                <w:sz w:val="20"/>
                <w:szCs w:val="20"/>
              </w:rPr>
            </w:pPr>
            <w:r w:rsidRPr="001823ED">
              <w:rPr>
                <w:rFonts w:cs="Calibri"/>
                <w:sz w:val="20"/>
                <w:szCs w:val="20"/>
              </w:rPr>
              <w:t>6-birth</w:t>
            </w:r>
          </w:p>
        </w:tc>
      </w:tr>
      <w:tr w:rsidR="005F07B5" w:rsidRPr="001823ED" w14:paraId="2DA48FA5" w14:textId="77777777" w:rsidTr="00981270">
        <w:trPr>
          <w:trHeight w:val="284"/>
        </w:trPr>
        <w:tc>
          <w:tcPr>
            <w:tcW w:w="1128" w:type="dxa"/>
            <w:vMerge w:val="restart"/>
            <w:shd w:val="clear" w:color="auto" w:fill="auto"/>
            <w:textDirection w:val="btLr"/>
            <w:vAlign w:val="center"/>
          </w:tcPr>
          <w:p w14:paraId="6AD0749A" w14:textId="77777777" w:rsidR="00411C71" w:rsidRPr="001823ED" w:rsidRDefault="00411C71" w:rsidP="00981270">
            <w:pPr>
              <w:widowControl w:val="0"/>
              <w:jc w:val="center"/>
              <w:rPr>
                <w:rFonts w:cs="Calibri"/>
              </w:rPr>
            </w:pPr>
            <w:r w:rsidRPr="001823ED">
              <w:rPr>
                <w:rFonts w:cs="Calibri"/>
              </w:rPr>
              <w:t>Laboratory methods</w:t>
            </w:r>
          </w:p>
        </w:tc>
        <w:tc>
          <w:tcPr>
            <w:tcW w:w="3264" w:type="dxa"/>
            <w:shd w:val="clear" w:color="auto" w:fill="auto"/>
            <w:vAlign w:val="center"/>
          </w:tcPr>
          <w:p w14:paraId="5A162DE2" w14:textId="77777777" w:rsidR="00411C71" w:rsidRPr="001823ED" w:rsidRDefault="00411C71" w:rsidP="00981270">
            <w:pPr>
              <w:widowControl w:val="0"/>
              <w:rPr>
                <w:rFonts w:cs="Calibri"/>
                <w:sz w:val="20"/>
                <w:szCs w:val="20"/>
              </w:rPr>
            </w:pPr>
            <w:r w:rsidRPr="001823ED">
              <w:rPr>
                <w:rFonts w:cs="Calibri"/>
                <w:sz w:val="20"/>
                <w:szCs w:val="20"/>
              </w:rPr>
              <w:t>16s rRNA sequencing</w:t>
            </w:r>
          </w:p>
        </w:tc>
        <w:tc>
          <w:tcPr>
            <w:tcW w:w="808" w:type="dxa"/>
            <w:shd w:val="clear" w:color="auto" w:fill="auto"/>
            <w:vAlign w:val="center"/>
          </w:tcPr>
          <w:p w14:paraId="1FEB0D59" w14:textId="77777777" w:rsidR="00411C71" w:rsidRPr="001823ED" w:rsidRDefault="00411C71" w:rsidP="00981270">
            <w:pPr>
              <w:widowControl w:val="0"/>
              <w:ind w:hanging="84"/>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76BC56F"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C81EC59" w14:textId="77777777" w:rsidR="00411C71" w:rsidRPr="001823ED" w:rsidRDefault="00411C71" w:rsidP="00981270">
            <w:pPr>
              <w:widowControl w:val="0"/>
              <w:ind w:hanging="113"/>
              <w:jc w:val="center"/>
              <w:rPr>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3F54CE93" w14:textId="77777777" w:rsidR="00411C71" w:rsidRPr="001823ED" w:rsidRDefault="00411C71" w:rsidP="00981270">
            <w:pPr>
              <w:widowControl w:val="0"/>
              <w:ind w:hanging="98"/>
              <w:jc w:val="center"/>
              <w:rPr>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3385B8BE"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2C0D149C"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CDC785F"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10283DF"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5889ADB2"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34D95B89" w14:textId="77777777" w:rsidR="00411C71" w:rsidRPr="001823ED" w:rsidRDefault="00411C71" w:rsidP="00981270">
            <w:pPr>
              <w:widowControl w:val="0"/>
              <w:ind w:right="45"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11995BDB" w14:textId="77777777" w:rsidR="00411C71" w:rsidRPr="001823ED" w:rsidRDefault="00411C71" w:rsidP="00981270">
            <w:pPr>
              <w:widowControl w:val="0"/>
              <w:ind w:right="5" w:hanging="8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365A62B"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5F07B5" w:rsidRPr="001823ED" w14:paraId="7324E311" w14:textId="77777777" w:rsidTr="00981270">
        <w:trPr>
          <w:trHeight w:val="284"/>
        </w:trPr>
        <w:tc>
          <w:tcPr>
            <w:tcW w:w="1128" w:type="dxa"/>
            <w:vMerge/>
            <w:shd w:val="clear" w:color="auto" w:fill="auto"/>
            <w:textDirection w:val="btLr"/>
          </w:tcPr>
          <w:p w14:paraId="1D27867C" w14:textId="77777777" w:rsidR="00411C71" w:rsidRPr="001823ED" w:rsidRDefault="00411C71" w:rsidP="00981270">
            <w:pPr>
              <w:widowControl w:val="0"/>
              <w:ind w:firstLine="360"/>
              <w:rPr>
                <w:rFonts w:cs="Calibri"/>
              </w:rPr>
            </w:pPr>
          </w:p>
        </w:tc>
        <w:tc>
          <w:tcPr>
            <w:tcW w:w="3264" w:type="dxa"/>
            <w:shd w:val="clear" w:color="auto" w:fill="auto"/>
            <w:vAlign w:val="center"/>
          </w:tcPr>
          <w:p w14:paraId="105EF8D9" w14:textId="77777777" w:rsidR="00411C71" w:rsidRPr="001823ED" w:rsidRDefault="00411C71" w:rsidP="00981270">
            <w:pPr>
              <w:widowControl w:val="0"/>
              <w:rPr>
                <w:rFonts w:cs="Calibri"/>
                <w:sz w:val="20"/>
                <w:szCs w:val="20"/>
              </w:rPr>
            </w:pPr>
            <w:r w:rsidRPr="001823ED">
              <w:rPr>
                <w:rFonts w:cs="Calibri"/>
                <w:sz w:val="20"/>
                <w:szCs w:val="20"/>
              </w:rPr>
              <w:t>Variable region sequenced</w:t>
            </w:r>
          </w:p>
        </w:tc>
        <w:tc>
          <w:tcPr>
            <w:tcW w:w="808" w:type="dxa"/>
            <w:shd w:val="clear" w:color="auto" w:fill="auto"/>
            <w:vAlign w:val="center"/>
          </w:tcPr>
          <w:p w14:paraId="267D6058" w14:textId="77777777" w:rsidR="00411C71" w:rsidRPr="001823ED" w:rsidRDefault="00411C71" w:rsidP="00981270">
            <w:pPr>
              <w:widowControl w:val="0"/>
              <w:ind w:hanging="84"/>
              <w:jc w:val="center"/>
              <w:rPr>
                <w:rFonts w:cs="Calibri"/>
                <w:sz w:val="20"/>
                <w:szCs w:val="20"/>
              </w:rPr>
            </w:pPr>
            <w:r w:rsidRPr="001823ED">
              <w:rPr>
                <w:rFonts w:cs="Calibri"/>
                <w:sz w:val="20"/>
                <w:szCs w:val="20"/>
              </w:rPr>
              <w:t>1-3</w:t>
            </w:r>
          </w:p>
        </w:tc>
        <w:tc>
          <w:tcPr>
            <w:tcW w:w="809" w:type="dxa"/>
            <w:shd w:val="clear" w:color="auto" w:fill="auto"/>
            <w:vAlign w:val="center"/>
          </w:tcPr>
          <w:p w14:paraId="32E5DCB2" w14:textId="77777777" w:rsidR="00411C71" w:rsidRPr="001823ED" w:rsidRDefault="00411C71" w:rsidP="00981270">
            <w:pPr>
              <w:widowControl w:val="0"/>
              <w:ind w:hanging="113"/>
              <w:jc w:val="center"/>
              <w:rPr>
                <w:rFonts w:cs="Calibri"/>
                <w:sz w:val="20"/>
                <w:szCs w:val="20"/>
              </w:rPr>
            </w:pPr>
            <w:r w:rsidRPr="001823ED">
              <w:rPr>
                <w:rFonts w:cs="Calibri"/>
                <w:sz w:val="20"/>
                <w:szCs w:val="20"/>
              </w:rPr>
              <w:t>3-5, 4</w:t>
            </w:r>
          </w:p>
        </w:tc>
        <w:tc>
          <w:tcPr>
            <w:tcW w:w="809" w:type="dxa"/>
            <w:shd w:val="clear" w:color="auto" w:fill="auto"/>
            <w:vAlign w:val="center"/>
          </w:tcPr>
          <w:p w14:paraId="37507281" w14:textId="77777777" w:rsidR="00411C71" w:rsidRPr="001823ED" w:rsidRDefault="00411C71" w:rsidP="00981270">
            <w:pPr>
              <w:widowControl w:val="0"/>
              <w:ind w:hanging="113"/>
              <w:jc w:val="center"/>
              <w:rPr>
                <w:sz w:val="20"/>
                <w:szCs w:val="20"/>
              </w:rPr>
            </w:pPr>
            <w:r w:rsidRPr="001823ED">
              <w:rPr>
                <w:rFonts w:cs="Calibri"/>
                <w:sz w:val="20"/>
                <w:szCs w:val="20"/>
              </w:rPr>
              <w:t>4</w:t>
            </w:r>
          </w:p>
        </w:tc>
        <w:tc>
          <w:tcPr>
            <w:tcW w:w="809" w:type="dxa"/>
            <w:shd w:val="clear" w:color="auto" w:fill="auto"/>
            <w:vAlign w:val="center"/>
          </w:tcPr>
          <w:p w14:paraId="2445908A" w14:textId="77777777" w:rsidR="00411C71" w:rsidRPr="001823ED" w:rsidRDefault="00411C71" w:rsidP="00981270">
            <w:pPr>
              <w:widowControl w:val="0"/>
              <w:ind w:hanging="98"/>
              <w:jc w:val="center"/>
              <w:rPr>
                <w:sz w:val="20"/>
                <w:szCs w:val="20"/>
              </w:rPr>
            </w:pPr>
            <w:r w:rsidRPr="001823ED">
              <w:rPr>
                <w:rFonts w:cs="Calibri"/>
                <w:sz w:val="20"/>
                <w:szCs w:val="20"/>
              </w:rPr>
              <w:t>4</w:t>
            </w:r>
          </w:p>
        </w:tc>
        <w:tc>
          <w:tcPr>
            <w:tcW w:w="809" w:type="dxa"/>
            <w:shd w:val="clear" w:color="auto" w:fill="auto"/>
            <w:vAlign w:val="center"/>
          </w:tcPr>
          <w:p w14:paraId="1BC6B129" w14:textId="77777777" w:rsidR="00411C71" w:rsidRPr="001823ED" w:rsidRDefault="00411C71" w:rsidP="00981270">
            <w:pPr>
              <w:widowControl w:val="0"/>
              <w:ind w:hanging="113"/>
              <w:jc w:val="center"/>
              <w:rPr>
                <w:rFonts w:cs="Calibri"/>
                <w:sz w:val="20"/>
                <w:szCs w:val="20"/>
              </w:rPr>
            </w:pPr>
            <w:r w:rsidRPr="001823ED">
              <w:rPr>
                <w:rFonts w:cs="Calibri"/>
                <w:sz w:val="20"/>
                <w:szCs w:val="20"/>
              </w:rPr>
              <w:t>1-3</w:t>
            </w:r>
          </w:p>
        </w:tc>
        <w:tc>
          <w:tcPr>
            <w:tcW w:w="809" w:type="dxa"/>
            <w:shd w:val="clear" w:color="auto" w:fill="auto"/>
            <w:vAlign w:val="center"/>
          </w:tcPr>
          <w:p w14:paraId="3087401F" w14:textId="77777777" w:rsidR="00411C71" w:rsidRPr="001823ED" w:rsidRDefault="00411C71" w:rsidP="00981270">
            <w:pPr>
              <w:widowControl w:val="0"/>
              <w:ind w:hanging="113"/>
              <w:jc w:val="center"/>
              <w:rPr>
                <w:rFonts w:cs="Calibri"/>
                <w:sz w:val="20"/>
                <w:szCs w:val="20"/>
              </w:rPr>
            </w:pPr>
            <w:r w:rsidRPr="001823ED">
              <w:rPr>
                <w:rFonts w:cs="Calibri"/>
                <w:sz w:val="20"/>
                <w:szCs w:val="20"/>
              </w:rPr>
              <w:t>4</w:t>
            </w:r>
          </w:p>
        </w:tc>
        <w:tc>
          <w:tcPr>
            <w:tcW w:w="809" w:type="dxa"/>
            <w:shd w:val="clear" w:color="auto" w:fill="auto"/>
            <w:vAlign w:val="center"/>
          </w:tcPr>
          <w:p w14:paraId="3B9AB26E" w14:textId="5E33DEDC" w:rsidR="00411C71" w:rsidRPr="001823ED" w:rsidRDefault="00411C71" w:rsidP="00981270">
            <w:pPr>
              <w:widowControl w:val="0"/>
              <w:ind w:right="-112" w:hanging="113"/>
              <w:jc w:val="center"/>
              <w:rPr>
                <w:rFonts w:cs="Calibri"/>
                <w:sz w:val="20"/>
                <w:szCs w:val="20"/>
              </w:rPr>
            </w:pPr>
            <w:r w:rsidRPr="001823ED">
              <w:rPr>
                <w:rFonts w:cs="Calibri"/>
                <w:sz w:val="20"/>
                <w:szCs w:val="20"/>
              </w:rPr>
              <w:t>1-3,3-5</w:t>
            </w:r>
          </w:p>
        </w:tc>
        <w:tc>
          <w:tcPr>
            <w:tcW w:w="809" w:type="dxa"/>
            <w:shd w:val="clear" w:color="auto" w:fill="D9D9D9"/>
            <w:vAlign w:val="center"/>
          </w:tcPr>
          <w:p w14:paraId="38BC06D8" w14:textId="77777777" w:rsidR="00411C71" w:rsidRPr="001823ED" w:rsidRDefault="00411C71" w:rsidP="00981270">
            <w:pPr>
              <w:widowControl w:val="0"/>
              <w:ind w:hanging="113"/>
              <w:jc w:val="center"/>
              <w:rPr>
                <w:rFonts w:cs="Calibri"/>
                <w:sz w:val="20"/>
                <w:szCs w:val="20"/>
              </w:rPr>
            </w:pPr>
          </w:p>
        </w:tc>
        <w:tc>
          <w:tcPr>
            <w:tcW w:w="809" w:type="dxa"/>
            <w:shd w:val="clear" w:color="auto" w:fill="auto"/>
            <w:vAlign w:val="center"/>
          </w:tcPr>
          <w:p w14:paraId="205F60FD" w14:textId="77777777" w:rsidR="00411C71" w:rsidRPr="001823ED" w:rsidRDefault="00411C71" w:rsidP="00981270">
            <w:pPr>
              <w:widowControl w:val="0"/>
              <w:ind w:hanging="113"/>
              <w:jc w:val="center"/>
              <w:rPr>
                <w:rFonts w:cs="Calibri"/>
                <w:sz w:val="20"/>
                <w:szCs w:val="20"/>
              </w:rPr>
            </w:pPr>
            <w:r w:rsidRPr="001823ED">
              <w:rPr>
                <w:rFonts w:cs="Calibri"/>
                <w:sz w:val="20"/>
                <w:szCs w:val="20"/>
              </w:rPr>
              <w:t>4</w:t>
            </w:r>
          </w:p>
        </w:tc>
        <w:tc>
          <w:tcPr>
            <w:tcW w:w="809" w:type="dxa"/>
            <w:shd w:val="clear" w:color="auto" w:fill="auto"/>
            <w:vAlign w:val="center"/>
          </w:tcPr>
          <w:p w14:paraId="06189F8F" w14:textId="77777777" w:rsidR="00411C71" w:rsidRPr="001823ED" w:rsidRDefault="00411C71" w:rsidP="00981270">
            <w:pPr>
              <w:widowControl w:val="0"/>
              <w:ind w:right="45" w:hanging="113"/>
              <w:jc w:val="center"/>
              <w:rPr>
                <w:rFonts w:cs="Calibri"/>
                <w:sz w:val="20"/>
                <w:szCs w:val="20"/>
              </w:rPr>
            </w:pPr>
            <w:r w:rsidRPr="001823ED">
              <w:rPr>
                <w:rFonts w:cs="Calibri"/>
                <w:sz w:val="20"/>
                <w:szCs w:val="20"/>
              </w:rPr>
              <w:t>1-2</w:t>
            </w:r>
          </w:p>
        </w:tc>
        <w:tc>
          <w:tcPr>
            <w:tcW w:w="809" w:type="dxa"/>
            <w:shd w:val="clear" w:color="auto" w:fill="auto"/>
            <w:vAlign w:val="center"/>
          </w:tcPr>
          <w:p w14:paraId="79ADD5A9" w14:textId="77777777" w:rsidR="00411C71" w:rsidRPr="001823ED" w:rsidRDefault="00411C71" w:rsidP="00981270">
            <w:pPr>
              <w:widowControl w:val="0"/>
              <w:ind w:right="5" w:hanging="88"/>
              <w:jc w:val="center"/>
              <w:rPr>
                <w:rFonts w:cs="Calibri"/>
                <w:sz w:val="20"/>
                <w:szCs w:val="20"/>
              </w:rPr>
            </w:pPr>
            <w:r w:rsidRPr="001823ED">
              <w:rPr>
                <w:rFonts w:cs="Calibri"/>
                <w:sz w:val="20"/>
                <w:szCs w:val="20"/>
              </w:rPr>
              <w:t>3-4</w:t>
            </w:r>
          </w:p>
        </w:tc>
        <w:tc>
          <w:tcPr>
            <w:tcW w:w="809" w:type="dxa"/>
            <w:shd w:val="clear" w:color="auto" w:fill="auto"/>
            <w:vAlign w:val="center"/>
          </w:tcPr>
          <w:p w14:paraId="1CEAB4C0" w14:textId="77777777" w:rsidR="00411C71" w:rsidRPr="001823ED" w:rsidRDefault="00411C71" w:rsidP="00981270">
            <w:pPr>
              <w:widowControl w:val="0"/>
              <w:ind w:hanging="113"/>
              <w:jc w:val="center"/>
              <w:rPr>
                <w:rFonts w:cs="Calibri"/>
                <w:sz w:val="20"/>
                <w:szCs w:val="20"/>
              </w:rPr>
            </w:pPr>
            <w:r w:rsidRPr="001823ED">
              <w:rPr>
                <w:rFonts w:cs="Calibri"/>
                <w:sz w:val="20"/>
                <w:szCs w:val="20"/>
              </w:rPr>
              <w:t>1-3</w:t>
            </w:r>
          </w:p>
        </w:tc>
      </w:tr>
      <w:tr w:rsidR="005F07B5" w:rsidRPr="001823ED" w14:paraId="3F8E5F02" w14:textId="77777777" w:rsidTr="00981270">
        <w:trPr>
          <w:trHeight w:val="284"/>
        </w:trPr>
        <w:tc>
          <w:tcPr>
            <w:tcW w:w="1128" w:type="dxa"/>
            <w:vMerge/>
            <w:shd w:val="clear" w:color="auto" w:fill="auto"/>
          </w:tcPr>
          <w:p w14:paraId="692801A7" w14:textId="77777777" w:rsidR="00411C71" w:rsidRPr="001823ED" w:rsidRDefault="00411C71" w:rsidP="00981270">
            <w:pPr>
              <w:widowControl w:val="0"/>
              <w:ind w:firstLine="360"/>
              <w:rPr>
                <w:rFonts w:cs="Calibri"/>
              </w:rPr>
            </w:pPr>
          </w:p>
        </w:tc>
        <w:tc>
          <w:tcPr>
            <w:tcW w:w="3264" w:type="dxa"/>
            <w:shd w:val="clear" w:color="auto" w:fill="auto"/>
            <w:vAlign w:val="center"/>
          </w:tcPr>
          <w:p w14:paraId="3ED454E3" w14:textId="77777777" w:rsidR="00411C71" w:rsidRPr="001823ED" w:rsidRDefault="00411C71" w:rsidP="00981270">
            <w:pPr>
              <w:widowControl w:val="0"/>
              <w:rPr>
                <w:rFonts w:cs="Calibri"/>
                <w:sz w:val="20"/>
                <w:szCs w:val="20"/>
              </w:rPr>
            </w:pPr>
            <w:r w:rsidRPr="001823ED">
              <w:rPr>
                <w:rFonts w:cs="Calibri"/>
                <w:sz w:val="20"/>
                <w:szCs w:val="20"/>
              </w:rPr>
              <w:t>qPCR of 16s rRNA gene</w:t>
            </w:r>
          </w:p>
        </w:tc>
        <w:tc>
          <w:tcPr>
            <w:tcW w:w="808" w:type="dxa"/>
            <w:shd w:val="clear" w:color="auto" w:fill="auto"/>
            <w:vAlign w:val="center"/>
          </w:tcPr>
          <w:p w14:paraId="72C94D8C" w14:textId="77777777" w:rsidR="00411C71" w:rsidRPr="001823ED" w:rsidRDefault="00411C71" w:rsidP="00981270">
            <w:pPr>
              <w:widowControl w:val="0"/>
              <w:ind w:hanging="84"/>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FB0DFD5"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F87BE7B" w14:textId="77777777" w:rsidR="00411C71" w:rsidRPr="001823ED" w:rsidRDefault="00411C71" w:rsidP="00981270">
            <w:pPr>
              <w:widowControl w:val="0"/>
              <w:ind w:hanging="113"/>
              <w:jc w:val="center"/>
              <w:rPr>
                <w:sz w:val="20"/>
                <w:szCs w:val="20"/>
              </w:rPr>
            </w:pPr>
            <w:r w:rsidRPr="001823ED">
              <w:rPr>
                <w:rFonts w:ascii="Segoe UI Symbol" w:hAnsi="Segoe UI Symbol" w:cs="Segoe UI Symbol"/>
                <w:sz w:val="20"/>
                <w:szCs w:val="20"/>
              </w:rPr>
              <w:t>✘</w:t>
            </w:r>
          </w:p>
        </w:tc>
        <w:tc>
          <w:tcPr>
            <w:tcW w:w="809" w:type="dxa"/>
            <w:shd w:val="clear" w:color="auto" w:fill="auto"/>
            <w:vAlign w:val="center"/>
          </w:tcPr>
          <w:p w14:paraId="05A32ED5" w14:textId="77777777" w:rsidR="00411C71" w:rsidRPr="001823ED" w:rsidRDefault="00411C71" w:rsidP="00981270">
            <w:pPr>
              <w:widowControl w:val="0"/>
              <w:ind w:hanging="98"/>
              <w:jc w:val="center"/>
              <w:rPr>
                <w:sz w:val="20"/>
                <w:szCs w:val="20"/>
              </w:rPr>
            </w:pPr>
            <w:r w:rsidRPr="001823ED">
              <w:rPr>
                <w:rFonts w:ascii="Segoe UI Symbol" w:hAnsi="Segoe UI Symbol" w:cs="Segoe UI Symbol"/>
                <w:sz w:val="20"/>
                <w:szCs w:val="20"/>
              </w:rPr>
              <w:t>✘</w:t>
            </w:r>
          </w:p>
        </w:tc>
        <w:tc>
          <w:tcPr>
            <w:tcW w:w="809" w:type="dxa"/>
            <w:shd w:val="clear" w:color="auto" w:fill="auto"/>
            <w:vAlign w:val="center"/>
          </w:tcPr>
          <w:p w14:paraId="6048530E"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51A72A55"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150FEE73"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1F3B7703"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75181A3"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1CE71200" w14:textId="77777777" w:rsidR="00411C71" w:rsidRPr="001823ED" w:rsidRDefault="00411C71" w:rsidP="00981270">
            <w:pPr>
              <w:widowControl w:val="0"/>
              <w:ind w:right="45"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67AA3DEC" w14:textId="77777777" w:rsidR="00411C71" w:rsidRPr="001823ED" w:rsidRDefault="00411C71" w:rsidP="00981270">
            <w:pPr>
              <w:widowControl w:val="0"/>
              <w:ind w:right="5" w:hanging="8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9168238"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r>
      <w:tr w:rsidR="005F07B5" w:rsidRPr="001823ED" w14:paraId="2DA419A1" w14:textId="77777777" w:rsidTr="00981270">
        <w:trPr>
          <w:trHeight w:val="284"/>
        </w:trPr>
        <w:tc>
          <w:tcPr>
            <w:tcW w:w="1128" w:type="dxa"/>
            <w:vMerge/>
            <w:shd w:val="clear" w:color="auto" w:fill="auto"/>
          </w:tcPr>
          <w:p w14:paraId="53DFA033" w14:textId="77777777" w:rsidR="00411C71" w:rsidRPr="001823ED" w:rsidRDefault="00411C71" w:rsidP="00981270">
            <w:pPr>
              <w:widowControl w:val="0"/>
              <w:ind w:firstLine="360"/>
              <w:rPr>
                <w:rFonts w:cs="Calibri"/>
              </w:rPr>
            </w:pPr>
          </w:p>
        </w:tc>
        <w:tc>
          <w:tcPr>
            <w:tcW w:w="3264" w:type="dxa"/>
            <w:shd w:val="clear" w:color="auto" w:fill="auto"/>
            <w:vAlign w:val="center"/>
          </w:tcPr>
          <w:p w14:paraId="4511A183" w14:textId="77777777" w:rsidR="00411C71" w:rsidRPr="001823ED" w:rsidRDefault="00411C71" w:rsidP="00981270">
            <w:pPr>
              <w:widowControl w:val="0"/>
              <w:rPr>
                <w:rFonts w:cs="Calibri"/>
                <w:sz w:val="20"/>
                <w:szCs w:val="20"/>
              </w:rPr>
            </w:pPr>
            <w:r w:rsidRPr="001823ED">
              <w:rPr>
                <w:sz w:val="20"/>
                <w:szCs w:val="20"/>
              </w:rPr>
              <w:t>Alternate NGS of eukaryotic DNA*</w:t>
            </w:r>
          </w:p>
        </w:tc>
        <w:tc>
          <w:tcPr>
            <w:tcW w:w="808" w:type="dxa"/>
            <w:shd w:val="clear" w:color="auto" w:fill="auto"/>
            <w:vAlign w:val="center"/>
          </w:tcPr>
          <w:p w14:paraId="506E0863" w14:textId="77777777" w:rsidR="00411C71" w:rsidRPr="001823ED" w:rsidRDefault="00411C71" w:rsidP="00981270">
            <w:pPr>
              <w:widowControl w:val="0"/>
              <w:ind w:hanging="84"/>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844AA17"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6D3DEBF3" w14:textId="77777777" w:rsidR="00411C71" w:rsidRPr="001823ED" w:rsidRDefault="00411C71" w:rsidP="00981270">
            <w:pPr>
              <w:widowControl w:val="0"/>
              <w:ind w:hanging="113"/>
              <w:jc w:val="center"/>
              <w:rPr>
                <w:sz w:val="20"/>
                <w:szCs w:val="20"/>
              </w:rPr>
            </w:pPr>
            <w:r w:rsidRPr="001823ED">
              <w:rPr>
                <w:rFonts w:ascii="Segoe UI Symbol" w:hAnsi="Segoe UI Symbol" w:cs="Segoe UI Symbol"/>
                <w:sz w:val="20"/>
                <w:szCs w:val="20"/>
              </w:rPr>
              <w:t>✘</w:t>
            </w:r>
          </w:p>
        </w:tc>
        <w:tc>
          <w:tcPr>
            <w:tcW w:w="809" w:type="dxa"/>
            <w:shd w:val="clear" w:color="auto" w:fill="auto"/>
            <w:vAlign w:val="center"/>
          </w:tcPr>
          <w:p w14:paraId="7B91C0EF" w14:textId="77777777" w:rsidR="00411C71" w:rsidRPr="001823ED" w:rsidRDefault="00411C71" w:rsidP="00981270">
            <w:pPr>
              <w:widowControl w:val="0"/>
              <w:ind w:hanging="98"/>
              <w:jc w:val="center"/>
              <w:rPr>
                <w:sz w:val="20"/>
                <w:szCs w:val="20"/>
              </w:rPr>
            </w:pPr>
            <w:r w:rsidRPr="001823ED">
              <w:rPr>
                <w:rFonts w:ascii="Segoe UI Symbol" w:hAnsi="Segoe UI Symbol" w:cs="Segoe UI Symbol"/>
                <w:sz w:val="20"/>
                <w:szCs w:val="20"/>
              </w:rPr>
              <w:t>✘</w:t>
            </w:r>
          </w:p>
        </w:tc>
        <w:tc>
          <w:tcPr>
            <w:tcW w:w="809" w:type="dxa"/>
            <w:shd w:val="clear" w:color="auto" w:fill="auto"/>
            <w:vAlign w:val="center"/>
          </w:tcPr>
          <w:p w14:paraId="21A3942D"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1B7845DC"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701CD5A5"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1D3D1B25"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C472C30"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61770DCB" w14:textId="77777777" w:rsidR="00411C71" w:rsidRPr="001823ED" w:rsidRDefault="00411C71" w:rsidP="00981270">
            <w:pPr>
              <w:widowControl w:val="0"/>
              <w:ind w:right="45"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F591537" w14:textId="77777777" w:rsidR="00411C71" w:rsidRPr="001823ED" w:rsidRDefault="00411C71" w:rsidP="00981270">
            <w:pPr>
              <w:widowControl w:val="0"/>
              <w:ind w:right="5" w:hanging="88"/>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078FAB1D" w14:textId="77777777" w:rsidR="00411C71" w:rsidRPr="001823ED" w:rsidRDefault="00411C71" w:rsidP="00981270">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73067C" w:rsidRPr="001823ED" w14:paraId="576CEDF1" w14:textId="77777777" w:rsidTr="00A73BAD">
        <w:trPr>
          <w:trHeight w:val="247"/>
        </w:trPr>
        <w:tc>
          <w:tcPr>
            <w:tcW w:w="1128" w:type="dxa"/>
            <w:vMerge w:val="restart"/>
            <w:shd w:val="clear" w:color="auto" w:fill="auto"/>
            <w:textDirection w:val="btLr"/>
            <w:vAlign w:val="center"/>
          </w:tcPr>
          <w:p w14:paraId="1D84FA59" w14:textId="1456F111" w:rsidR="0073067C" w:rsidRPr="001823ED" w:rsidRDefault="00A73BAD" w:rsidP="0073067C">
            <w:pPr>
              <w:widowControl w:val="0"/>
              <w:ind w:left="113" w:right="113"/>
              <w:jc w:val="center"/>
              <w:rPr>
                <w:rFonts w:cs="Calibri"/>
              </w:rPr>
            </w:pPr>
            <w:r>
              <w:rPr>
                <w:rFonts w:cs="Calibri"/>
              </w:rPr>
              <w:t>Ethnicity</w:t>
            </w:r>
          </w:p>
        </w:tc>
        <w:tc>
          <w:tcPr>
            <w:tcW w:w="3264" w:type="dxa"/>
            <w:shd w:val="clear" w:color="auto" w:fill="auto"/>
            <w:vAlign w:val="center"/>
          </w:tcPr>
          <w:p w14:paraId="1184F67C" w14:textId="617ADBC2" w:rsidR="0073067C" w:rsidRPr="001823ED" w:rsidRDefault="0073067C" w:rsidP="0073067C">
            <w:pPr>
              <w:widowControl w:val="0"/>
              <w:rPr>
                <w:rFonts w:cs="Calibri"/>
                <w:sz w:val="20"/>
                <w:szCs w:val="20"/>
              </w:rPr>
            </w:pPr>
            <w:r w:rsidRPr="001823ED">
              <w:rPr>
                <w:rFonts w:cs="Calibri"/>
                <w:sz w:val="20"/>
                <w:szCs w:val="20"/>
              </w:rPr>
              <w:t>Asian</w:t>
            </w:r>
          </w:p>
        </w:tc>
        <w:tc>
          <w:tcPr>
            <w:tcW w:w="808" w:type="dxa"/>
            <w:shd w:val="clear" w:color="auto" w:fill="D9D9D9" w:themeFill="background1" w:themeFillShade="D9"/>
            <w:tcMar>
              <w:left w:w="0" w:type="dxa"/>
              <w:right w:w="0" w:type="dxa"/>
            </w:tcMar>
            <w:vAlign w:val="center"/>
          </w:tcPr>
          <w:p w14:paraId="34F0B7D5" w14:textId="77777777" w:rsidR="0073067C" w:rsidRPr="001823ED" w:rsidRDefault="0073067C" w:rsidP="0073067C">
            <w:pPr>
              <w:widowControl w:val="0"/>
              <w:ind w:hanging="84"/>
              <w:jc w:val="center"/>
              <w:rPr>
                <w:rFonts w:cs="Calibri"/>
                <w:sz w:val="20"/>
                <w:szCs w:val="20"/>
              </w:rPr>
            </w:pPr>
          </w:p>
        </w:tc>
        <w:tc>
          <w:tcPr>
            <w:tcW w:w="809" w:type="dxa"/>
            <w:shd w:val="clear" w:color="auto" w:fill="auto"/>
            <w:vAlign w:val="center"/>
          </w:tcPr>
          <w:p w14:paraId="11C9367B" w14:textId="68F4304F" w:rsidR="0073067C" w:rsidRPr="001823ED" w:rsidRDefault="0073067C" w:rsidP="0073067C">
            <w:pPr>
              <w:widowControl w:val="0"/>
              <w:ind w:hanging="113"/>
              <w:jc w:val="center"/>
              <w:rPr>
                <w:rFonts w:cs="Calibri"/>
                <w:sz w:val="20"/>
                <w:szCs w:val="20"/>
              </w:rPr>
            </w:pPr>
            <w:r w:rsidRPr="001823ED">
              <w:rPr>
                <w:rFonts w:cs="Calibri"/>
                <w:sz w:val="20"/>
                <w:szCs w:val="20"/>
              </w:rPr>
              <w:t>12%</w:t>
            </w:r>
          </w:p>
        </w:tc>
        <w:tc>
          <w:tcPr>
            <w:tcW w:w="809" w:type="dxa"/>
            <w:shd w:val="clear" w:color="auto" w:fill="auto"/>
            <w:vAlign w:val="center"/>
          </w:tcPr>
          <w:p w14:paraId="6F3BC6D3" w14:textId="7AEE3ECE" w:rsidR="0073067C" w:rsidRPr="001823ED" w:rsidRDefault="0073067C" w:rsidP="0073067C">
            <w:pPr>
              <w:widowControl w:val="0"/>
              <w:ind w:hanging="113"/>
              <w:jc w:val="center"/>
              <w:rPr>
                <w:rFonts w:cs="Calibri"/>
                <w:sz w:val="20"/>
                <w:szCs w:val="20"/>
              </w:rPr>
            </w:pPr>
            <w:r w:rsidRPr="001823ED">
              <w:rPr>
                <w:rFonts w:cs="Calibri"/>
                <w:sz w:val="20"/>
                <w:szCs w:val="20"/>
              </w:rPr>
              <w:t>0%</w:t>
            </w:r>
          </w:p>
        </w:tc>
        <w:tc>
          <w:tcPr>
            <w:tcW w:w="809" w:type="dxa"/>
            <w:shd w:val="clear" w:color="auto" w:fill="auto"/>
            <w:vAlign w:val="center"/>
          </w:tcPr>
          <w:p w14:paraId="63478B0E" w14:textId="20EC6B8F" w:rsidR="0073067C" w:rsidRPr="001823ED" w:rsidRDefault="0073067C" w:rsidP="0073067C">
            <w:pPr>
              <w:widowControl w:val="0"/>
              <w:ind w:hanging="98"/>
              <w:jc w:val="center"/>
              <w:rPr>
                <w:rFonts w:cs="Calibri"/>
                <w:sz w:val="20"/>
                <w:szCs w:val="20"/>
              </w:rPr>
            </w:pPr>
            <w:r w:rsidRPr="001823ED">
              <w:rPr>
                <w:rFonts w:cs="Calibri"/>
                <w:sz w:val="20"/>
                <w:szCs w:val="20"/>
              </w:rPr>
              <w:t>0%</w:t>
            </w:r>
          </w:p>
        </w:tc>
        <w:tc>
          <w:tcPr>
            <w:tcW w:w="809" w:type="dxa"/>
            <w:shd w:val="clear" w:color="auto" w:fill="auto"/>
            <w:vAlign w:val="center"/>
          </w:tcPr>
          <w:p w14:paraId="4AAE8269" w14:textId="28E71734" w:rsidR="0073067C" w:rsidRPr="001823ED" w:rsidRDefault="0073067C" w:rsidP="0073067C">
            <w:pPr>
              <w:widowControl w:val="0"/>
              <w:ind w:hanging="113"/>
              <w:jc w:val="center"/>
              <w:rPr>
                <w:rFonts w:cs="Calibri"/>
                <w:sz w:val="20"/>
                <w:szCs w:val="20"/>
              </w:rPr>
            </w:pPr>
            <w:r w:rsidRPr="001823ED">
              <w:rPr>
                <w:rFonts w:cs="Calibri"/>
                <w:sz w:val="20"/>
                <w:szCs w:val="20"/>
              </w:rPr>
              <w:t>17%</w:t>
            </w:r>
          </w:p>
        </w:tc>
        <w:tc>
          <w:tcPr>
            <w:tcW w:w="809" w:type="dxa"/>
            <w:shd w:val="clear" w:color="auto" w:fill="auto"/>
            <w:vAlign w:val="center"/>
          </w:tcPr>
          <w:p w14:paraId="23CDC652" w14:textId="4471FFF4" w:rsidR="0073067C" w:rsidRPr="001823ED" w:rsidRDefault="0073067C" w:rsidP="0073067C">
            <w:pPr>
              <w:widowControl w:val="0"/>
              <w:ind w:hanging="113"/>
              <w:jc w:val="center"/>
              <w:rPr>
                <w:rFonts w:cs="Calibri"/>
                <w:sz w:val="20"/>
                <w:szCs w:val="20"/>
              </w:rPr>
            </w:pPr>
            <w:r w:rsidRPr="001823ED">
              <w:rPr>
                <w:rFonts w:cs="Calibri"/>
                <w:sz w:val="20"/>
                <w:szCs w:val="20"/>
              </w:rPr>
              <w:t>4%</w:t>
            </w:r>
          </w:p>
        </w:tc>
        <w:tc>
          <w:tcPr>
            <w:tcW w:w="809" w:type="dxa"/>
            <w:shd w:val="clear" w:color="auto" w:fill="D9D9D9"/>
            <w:vAlign w:val="center"/>
          </w:tcPr>
          <w:p w14:paraId="283DF8E7" w14:textId="77777777" w:rsidR="0073067C" w:rsidRPr="001823ED" w:rsidRDefault="0073067C" w:rsidP="0073067C">
            <w:pPr>
              <w:widowControl w:val="0"/>
              <w:ind w:hanging="113"/>
              <w:jc w:val="center"/>
              <w:rPr>
                <w:rFonts w:cs="Segoe UI Symbol"/>
                <w:b/>
                <w:bCs/>
                <w:sz w:val="20"/>
                <w:szCs w:val="20"/>
              </w:rPr>
            </w:pPr>
          </w:p>
        </w:tc>
        <w:tc>
          <w:tcPr>
            <w:tcW w:w="809" w:type="dxa"/>
            <w:shd w:val="clear" w:color="auto" w:fill="auto"/>
            <w:vAlign w:val="center"/>
          </w:tcPr>
          <w:p w14:paraId="6C8289D6" w14:textId="64751A37" w:rsidR="0073067C" w:rsidRPr="001823ED" w:rsidRDefault="0073067C" w:rsidP="0073067C">
            <w:pPr>
              <w:widowControl w:val="0"/>
              <w:ind w:hanging="113"/>
              <w:jc w:val="center"/>
              <w:rPr>
                <w:rFonts w:cs="Calibri"/>
                <w:sz w:val="20"/>
                <w:szCs w:val="20"/>
              </w:rPr>
            </w:pPr>
            <w:r w:rsidRPr="001823ED">
              <w:rPr>
                <w:rFonts w:cs="Calibri"/>
                <w:sz w:val="20"/>
                <w:szCs w:val="20"/>
              </w:rPr>
              <w:t>14%</w:t>
            </w:r>
          </w:p>
        </w:tc>
        <w:tc>
          <w:tcPr>
            <w:tcW w:w="809" w:type="dxa"/>
            <w:shd w:val="clear" w:color="auto" w:fill="auto"/>
            <w:vAlign w:val="center"/>
          </w:tcPr>
          <w:p w14:paraId="66EEC15D" w14:textId="7B7BA35E" w:rsidR="0073067C" w:rsidRPr="001823ED" w:rsidRDefault="0073067C" w:rsidP="0073067C">
            <w:pPr>
              <w:widowControl w:val="0"/>
              <w:ind w:hanging="113"/>
              <w:jc w:val="center"/>
              <w:rPr>
                <w:rFonts w:cs="Calibri"/>
                <w:sz w:val="20"/>
                <w:szCs w:val="20"/>
              </w:rPr>
            </w:pPr>
            <w:r w:rsidRPr="001823ED">
              <w:rPr>
                <w:rFonts w:cs="Calibri"/>
                <w:sz w:val="20"/>
                <w:szCs w:val="20"/>
              </w:rPr>
              <w:t>4%</w:t>
            </w:r>
          </w:p>
        </w:tc>
        <w:tc>
          <w:tcPr>
            <w:tcW w:w="809" w:type="dxa"/>
            <w:shd w:val="clear" w:color="auto" w:fill="auto"/>
            <w:vAlign w:val="center"/>
          </w:tcPr>
          <w:p w14:paraId="707CF8E7" w14:textId="513742DC" w:rsidR="0073067C" w:rsidRPr="001823ED" w:rsidRDefault="0073067C" w:rsidP="0073067C">
            <w:pPr>
              <w:widowControl w:val="0"/>
              <w:ind w:right="45" w:hanging="113"/>
              <w:jc w:val="center"/>
              <w:rPr>
                <w:rFonts w:cs="Calibri"/>
                <w:sz w:val="20"/>
                <w:szCs w:val="20"/>
              </w:rPr>
            </w:pPr>
            <w:r w:rsidRPr="001823ED">
              <w:rPr>
                <w:rFonts w:cs="Calibri"/>
                <w:sz w:val="20"/>
                <w:szCs w:val="20"/>
              </w:rPr>
              <w:t>26%</w:t>
            </w:r>
          </w:p>
        </w:tc>
        <w:tc>
          <w:tcPr>
            <w:tcW w:w="809" w:type="dxa"/>
            <w:shd w:val="clear" w:color="auto" w:fill="D9D9D9" w:themeFill="background1" w:themeFillShade="D9"/>
            <w:vAlign w:val="center"/>
          </w:tcPr>
          <w:p w14:paraId="0565BA3F" w14:textId="77777777" w:rsidR="0073067C" w:rsidRPr="001823ED" w:rsidRDefault="0073067C" w:rsidP="0073067C">
            <w:pPr>
              <w:widowControl w:val="0"/>
              <w:ind w:right="5" w:hanging="88"/>
              <w:jc w:val="center"/>
              <w:rPr>
                <w:rFonts w:cs="Calibri"/>
                <w:sz w:val="20"/>
                <w:szCs w:val="20"/>
              </w:rPr>
            </w:pPr>
          </w:p>
        </w:tc>
        <w:tc>
          <w:tcPr>
            <w:tcW w:w="809" w:type="dxa"/>
            <w:shd w:val="clear" w:color="auto" w:fill="D9D9D9" w:themeFill="background1" w:themeFillShade="D9"/>
            <w:vAlign w:val="center"/>
          </w:tcPr>
          <w:p w14:paraId="2AA6ADF9" w14:textId="77777777" w:rsidR="0073067C" w:rsidRPr="001823ED" w:rsidRDefault="0073067C" w:rsidP="0073067C">
            <w:pPr>
              <w:widowControl w:val="0"/>
              <w:ind w:hanging="113"/>
              <w:jc w:val="center"/>
              <w:rPr>
                <w:rFonts w:cs="Calibri"/>
                <w:sz w:val="20"/>
                <w:szCs w:val="20"/>
              </w:rPr>
            </w:pPr>
          </w:p>
        </w:tc>
      </w:tr>
      <w:tr w:rsidR="0073067C" w:rsidRPr="001823ED" w14:paraId="5FFA2B4B" w14:textId="77777777" w:rsidTr="00981270">
        <w:trPr>
          <w:trHeight w:val="248"/>
        </w:trPr>
        <w:tc>
          <w:tcPr>
            <w:tcW w:w="1128" w:type="dxa"/>
            <w:vMerge/>
            <w:shd w:val="clear" w:color="auto" w:fill="auto"/>
          </w:tcPr>
          <w:p w14:paraId="70A38FD5" w14:textId="77777777" w:rsidR="0073067C" w:rsidRPr="001823ED" w:rsidRDefault="0073067C" w:rsidP="0073067C">
            <w:pPr>
              <w:widowControl w:val="0"/>
              <w:ind w:firstLine="360"/>
              <w:rPr>
                <w:rFonts w:cs="Calibri"/>
              </w:rPr>
            </w:pPr>
          </w:p>
        </w:tc>
        <w:tc>
          <w:tcPr>
            <w:tcW w:w="3264" w:type="dxa"/>
            <w:shd w:val="clear" w:color="auto" w:fill="auto"/>
            <w:vAlign w:val="center"/>
          </w:tcPr>
          <w:p w14:paraId="4DD1D37E" w14:textId="77777777" w:rsidR="0073067C" w:rsidRPr="001823ED" w:rsidRDefault="0073067C" w:rsidP="0073067C">
            <w:pPr>
              <w:widowControl w:val="0"/>
              <w:rPr>
                <w:sz w:val="20"/>
                <w:szCs w:val="20"/>
              </w:rPr>
            </w:pPr>
            <w:r w:rsidRPr="001823ED">
              <w:rPr>
                <w:rFonts w:cs="Calibri"/>
                <w:sz w:val="20"/>
                <w:szCs w:val="20"/>
              </w:rPr>
              <w:t>Black/African American</w:t>
            </w:r>
          </w:p>
        </w:tc>
        <w:tc>
          <w:tcPr>
            <w:tcW w:w="808" w:type="dxa"/>
            <w:shd w:val="clear" w:color="auto" w:fill="auto"/>
            <w:tcMar>
              <w:left w:w="0" w:type="dxa"/>
              <w:right w:w="0" w:type="dxa"/>
            </w:tcMar>
            <w:vAlign w:val="center"/>
          </w:tcPr>
          <w:p w14:paraId="05AB5F05" w14:textId="77777777" w:rsidR="0073067C" w:rsidRPr="001823ED" w:rsidRDefault="0073067C" w:rsidP="0073067C">
            <w:pPr>
              <w:widowControl w:val="0"/>
              <w:ind w:hanging="84"/>
              <w:jc w:val="center"/>
              <w:rPr>
                <w:sz w:val="20"/>
                <w:szCs w:val="20"/>
              </w:rPr>
            </w:pPr>
            <w:r w:rsidRPr="001823ED">
              <w:rPr>
                <w:rFonts w:cs="Calibri"/>
                <w:sz w:val="20"/>
                <w:szCs w:val="20"/>
              </w:rPr>
              <w:t>87%</w:t>
            </w:r>
          </w:p>
        </w:tc>
        <w:tc>
          <w:tcPr>
            <w:tcW w:w="809" w:type="dxa"/>
            <w:shd w:val="clear" w:color="auto" w:fill="auto"/>
            <w:vAlign w:val="center"/>
          </w:tcPr>
          <w:p w14:paraId="1A68F8EB" w14:textId="77777777" w:rsidR="0073067C" w:rsidRPr="001823ED" w:rsidRDefault="0073067C" w:rsidP="0073067C">
            <w:pPr>
              <w:widowControl w:val="0"/>
              <w:ind w:hanging="113"/>
              <w:jc w:val="center"/>
              <w:rPr>
                <w:sz w:val="20"/>
                <w:szCs w:val="20"/>
              </w:rPr>
            </w:pPr>
            <w:r w:rsidRPr="001823ED">
              <w:rPr>
                <w:rFonts w:cs="Calibri"/>
                <w:sz w:val="20"/>
                <w:szCs w:val="20"/>
              </w:rPr>
              <w:t>4%</w:t>
            </w:r>
          </w:p>
        </w:tc>
        <w:tc>
          <w:tcPr>
            <w:tcW w:w="809" w:type="dxa"/>
            <w:shd w:val="clear" w:color="auto" w:fill="auto"/>
            <w:vAlign w:val="center"/>
          </w:tcPr>
          <w:p w14:paraId="48220864" w14:textId="77777777" w:rsidR="0073067C" w:rsidRPr="001823ED" w:rsidRDefault="0073067C" w:rsidP="0073067C">
            <w:pPr>
              <w:widowControl w:val="0"/>
              <w:ind w:hanging="113"/>
              <w:jc w:val="center"/>
              <w:rPr>
                <w:sz w:val="20"/>
                <w:szCs w:val="20"/>
              </w:rPr>
            </w:pPr>
            <w:r w:rsidRPr="001823ED">
              <w:rPr>
                <w:rFonts w:cs="Calibri"/>
                <w:sz w:val="20"/>
                <w:szCs w:val="20"/>
              </w:rPr>
              <w:t>50%</w:t>
            </w:r>
          </w:p>
        </w:tc>
        <w:tc>
          <w:tcPr>
            <w:tcW w:w="809" w:type="dxa"/>
            <w:shd w:val="clear" w:color="auto" w:fill="auto"/>
            <w:vAlign w:val="center"/>
          </w:tcPr>
          <w:p w14:paraId="5CA8C6EF" w14:textId="77777777" w:rsidR="0073067C" w:rsidRPr="001823ED" w:rsidRDefault="0073067C" w:rsidP="0073067C">
            <w:pPr>
              <w:widowControl w:val="0"/>
              <w:ind w:hanging="98"/>
              <w:jc w:val="center"/>
              <w:rPr>
                <w:sz w:val="20"/>
                <w:szCs w:val="20"/>
              </w:rPr>
            </w:pPr>
            <w:r w:rsidRPr="001823ED">
              <w:rPr>
                <w:rFonts w:cs="Calibri"/>
                <w:sz w:val="20"/>
                <w:szCs w:val="20"/>
              </w:rPr>
              <w:t>100%</w:t>
            </w:r>
          </w:p>
        </w:tc>
        <w:tc>
          <w:tcPr>
            <w:tcW w:w="809" w:type="dxa"/>
            <w:shd w:val="clear" w:color="auto" w:fill="auto"/>
            <w:vAlign w:val="center"/>
          </w:tcPr>
          <w:p w14:paraId="51E49A29" w14:textId="77777777" w:rsidR="0073067C" w:rsidRPr="001823ED" w:rsidRDefault="0073067C" w:rsidP="0073067C">
            <w:pPr>
              <w:widowControl w:val="0"/>
              <w:ind w:hanging="113"/>
              <w:jc w:val="center"/>
              <w:rPr>
                <w:sz w:val="20"/>
                <w:szCs w:val="20"/>
              </w:rPr>
            </w:pPr>
            <w:r w:rsidRPr="001823ED">
              <w:rPr>
                <w:rFonts w:cs="Calibri"/>
                <w:sz w:val="20"/>
                <w:szCs w:val="20"/>
              </w:rPr>
              <w:t>19%</w:t>
            </w:r>
          </w:p>
        </w:tc>
        <w:tc>
          <w:tcPr>
            <w:tcW w:w="809" w:type="dxa"/>
            <w:shd w:val="clear" w:color="auto" w:fill="auto"/>
            <w:vAlign w:val="center"/>
          </w:tcPr>
          <w:p w14:paraId="49FB00D8" w14:textId="77777777" w:rsidR="0073067C" w:rsidRPr="001823ED" w:rsidRDefault="0073067C" w:rsidP="0073067C">
            <w:pPr>
              <w:widowControl w:val="0"/>
              <w:ind w:hanging="113"/>
              <w:jc w:val="center"/>
              <w:rPr>
                <w:sz w:val="20"/>
                <w:szCs w:val="20"/>
              </w:rPr>
            </w:pPr>
            <w:r w:rsidRPr="001823ED">
              <w:rPr>
                <w:rFonts w:cs="Calibri"/>
                <w:sz w:val="20"/>
                <w:szCs w:val="20"/>
              </w:rPr>
              <w:t>59%</w:t>
            </w:r>
          </w:p>
        </w:tc>
        <w:tc>
          <w:tcPr>
            <w:tcW w:w="809" w:type="dxa"/>
            <w:shd w:val="clear" w:color="auto" w:fill="auto"/>
            <w:vAlign w:val="center"/>
          </w:tcPr>
          <w:p w14:paraId="3D5C322A" w14:textId="77777777" w:rsidR="0073067C" w:rsidRPr="001823ED" w:rsidRDefault="0073067C" w:rsidP="0073067C">
            <w:pPr>
              <w:widowControl w:val="0"/>
              <w:ind w:hanging="113"/>
              <w:jc w:val="center"/>
              <w:rPr>
                <w:sz w:val="20"/>
                <w:szCs w:val="20"/>
              </w:rPr>
            </w:pPr>
            <w:r w:rsidRPr="001823ED">
              <w:rPr>
                <w:rFonts w:cs="Calibri"/>
                <w:sz w:val="20"/>
                <w:szCs w:val="20"/>
              </w:rPr>
              <w:t>69%</w:t>
            </w:r>
          </w:p>
        </w:tc>
        <w:tc>
          <w:tcPr>
            <w:tcW w:w="809" w:type="dxa"/>
            <w:shd w:val="clear" w:color="auto" w:fill="auto"/>
            <w:vAlign w:val="center"/>
          </w:tcPr>
          <w:p w14:paraId="14FD4AFB" w14:textId="77777777" w:rsidR="0073067C" w:rsidRPr="001823ED" w:rsidRDefault="0073067C" w:rsidP="0073067C">
            <w:pPr>
              <w:widowControl w:val="0"/>
              <w:ind w:hanging="113"/>
              <w:jc w:val="center"/>
              <w:rPr>
                <w:sz w:val="20"/>
                <w:szCs w:val="20"/>
              </w:rPr>
            </w:pPr>
            <w:r w:rsidRPr="001823ED">
              <w:rPr>
                <w:rFonts w:cs="Calibri"/>
                <w:sz w:val="20"/>
                <w:szCs w:val="20"/>
              </w:rPr>
              <w:t>2%</w:t>
            </w:r>
          </w:p>
        </w:tc>
        <w:tc>
          <w:tcPr>
            <w:tcW w:w="809" w:type="dxa"/>
            <w:shd w:val="clear" w:color="auto" w:fill="auto"/>
            <w:vAlign w:val="center"/>
          </w:tcPr>
          <w:p w14:paraId="54322ADE" w14:textId="77777777" w:rsidR="0073067C" w:rsidRPr="001823ED" w:rsidRDefault="0073067C" w:rsidP="0073067C">
            <w:pPr>
              <w:widowControl w:val="0"/>
              <w:ind w:hanging="113"/>
              <w:jc w:val="center"/>
              <w:rPr>
                <w:sz w:val="20"/>
                <w:szCs w:val="20"/>
              </w:rPr>
            </w:pPr>
            <w:r w:rsidRPr="001823ED">
              <w:rPr>
                <w:rFonts w:cs="Calibri"/>
                <w:sz w:val="20"/>
                <w:szCs w:val="20"/>
              </w:rPr>
              <w:t>7%</w:t>
            </w:r>
          </w:p>
        </w:tc>
        <w:tc>
          <w:tcPr>
            <w:tcW w:w="809" w:type="dxa"/>
            <w:shd w:val="clear" w:color="auto" w:fill="auto"/>
            <w:vAlign w:val="center"/>
          </w:tcPr>
          <w:p w14:paraId="23A35C85" w14:textId="77777777" w:rsidR="0073067C" w:rsidRPr="001823ED" w:rsidRDefault="0073067C" w:rsidP="0073067C">
            <w:pPr>
              <w:widowControl w:val="0"/>
              <w:ind w:right="45" w:hanging="113"/>
              <w:jc w:val="center"/>
              <w:rPr>
                <w:sz w:val="20"/>
                <w:szCs w:val="20"/>
              </w:rPr>
            </w:pPr>
            <w:r w:rsidRPr="001823ED">
              <w:rPr>
                <w:rFonts w:cs="Calibri"/>
                <w:sz w:val="20"/>
                <w:szCs w:val="20"/>
              </w:rPr>
              <w:t>23%</w:t>
            </w:r>
          </w:p>
        </w:tc>
        <w:tc>
          <w:tcPr>
            <w:tcW w:w="809" w:type="dxa"/>
            <w:shd w:val="clear" w:color="auto" w:fill="auto"/>
            <w:vAlign w:val="center"/>
          </w:tcPr>
          <w:p w14:paraId="4D2113F0" w14:textId="77777777" w:rsidR="0073067C" w:rsidRPr="001823ED" w:rsidRDefault="0073067C" w:rsidP="0073067C">
            <w:pPr>
              <w:widowControl w:val="0"/>
              <w:ind w:right="5" w:hanging="88"/>
              <w:jc w:val="center"/>
              <w:rPr>
                <w:sz w:val="20"/>
                <w:szCs w:val="20"/>
              </w:rPr>
            </w:pPr>
            <w:r w:rsidRPr="001823ED">
              <w:rPr>
                <w:rFonts w:cs="Calibri"/>
                <w:sz w:val="20"/>
                <w:szCs w:val="20"/>
              </w:rPr>
              <w:t>75%</w:t>
            </w:r>
          </w:p>
        </w:tc>
        <w:tc>
          <w:tcPr>
            <w:tcW w:w="809" w:type="dxa"/>
            <w:shd w:val="clear" w:color="auto" w:fill="auto"/>
            <w:vAlign w:val="center"/>
          </w:tcPr>
          <w:p w14:paraId="0906ABD1" w14:textId="77777777" w:rsidR="0073067C" w:rsidRPr="001823ED" w:rsidRDefault="0073067C" w:rsidP="0073067C">
            <w:pPr>
              <w:widowControl w:val="0"/>
              <w:ind w:hanging="113"/>
              <w:jc w:val="center"/>
              <w:rPr>
                <w:sz w:val="20"/>
                <w:szCs w:val="20"/>
              </w:rPr>
            </w:pPr>
            <w:r w:rsidRPr="001823ED">
              <w:rPr>
                <w:rFonts w:cs="Calibri"/>
                <w:sz w:val="20"/>
                <w:szCs w:val="20"/>
              </w:rPr>
              <w:t>78%</w:t>
            </w:r>
          </w:p>
        </w:tc>
      </w:tr>
      <w:tr w:rsidR="008D3E27" w:rsidRPr="001823ED" w14:paraId="2D10E9BF" w14:textId="77777777" w:rsidTr="006144CB">
        <w:trPr>
          <w:trHeight w:val="248"/>
        </w:trPr>
        <w:tc>
          <w:tcPr>
            <w:tcW w:w="1128" w:type="dxa"/>
            <w:vMerge/>
            <w:shd w:val="clear" w:color="auto" w:fill="auto"/>
          </w:tcPr>
          <w:p w14:paraId="00B24CFA" w14:textId="77777777" w:rsidR="008D3E27" w:rsidRPr="001823ED" w:rsidRDefault="008D3E27" w:rsidP="008D3E27">
            <w:pPr>
              <w:widowControl w:val="0"/>
              <w:ind w:firstLine="360"/>
              <w:rPr>
                <w:rFonts w:cs="Calibri"/>
              </w:rPr>
            </w:pPr>
          </w:p>
        </w:tc>
        <w:tc>
          <w:tcPr>
            <w:tcW w:w="3264" w:type="dxa"/>
            <w:shd w:val="clear" w:color="auto" w:fill="auto"/>
            <w:vAlign w:val="center"/>
          </w:tcPr>
          <w:p w14:paraId="533FB104" w14:textId="04256503" w:rsidR="008D3E27" w:rsidRPr="001823ED" w:rsidRDefault="008D3E27" w:rsidP="008D3E27">
            <w:pPr>
              <w:widowControl w:val="0"/>
              <w:rPr>
                <w:rFonts w:cs="Calibri"/>
                <w:sz w:val="20"/>
                <w:szCs w:val="20"/>
              </w:rPr>
            </w:pPr>
            <w:r w:rsidRPr="001823ED">
              <w:rPr>
                <w:rFonts w:cs="Calibri"/>
                <w:sz w:val="20"/>
                <w:szCs w:val="20"/>
              </w:rPr>
              <w:t>Caucasian/White/European ancestry</w:t>
            </w:r>
          </w:p>
        </w:tc>
        <w:tc>
          <w:tcPr>
            <w:tcW w:w="808" w:type="dxa"/>
            <w:shd w:val="clear" w:color="auto" w:fill="auto"/>
            <w:tcMar>
              <w:left w:w="0" w:type="dxa"/>
              <w:right w:w="0" w:type="dxa"/>
            </w:tcMar>
            <w:vAlign w:val="center"/>
          </w:tcPr>
          <w:p w14:paraId="4D76C803" w14:textId="3D58C8D3" w:rsidR="008D3E27" w:rsidRPr="001823ED" w:rsidRDefault="008D3E27" w:rsidP="008D3E27">
            <w:pPr>
              <w:widowControl w:val="0"/>
              <w:ind w:hanging="84"/>
              <w:jc w:val="center"/>
              <w:rPr>
                <w:rFonts w:cs="Calibri"/>
                <w:sz w:val="20"/>
                <w:szCs w:val="20"/>
              </w:rPr>
            </w:pPr>
            <w:r w:rsidRPr="001823ED">
              <w:rPr>
                <w:rFonts w:cs="Calibri"/>
                <w:sz w:val="20"/>
                <w:szCs w:val="20"/>
              </w:rPr>
              <w:t>6%</w:t>
            </w:r>
          </w:p>
        </w:tc>
        <w:tc>
          <w:tcPr>
            <w:tcW w:w="809" w:type="dxa"/>
            <w:shd w:val="clear" w:color="auto" w:fill="auto"/>
            <w:vAlign w:val="center"/>
          </w:tcPr>
          <w:p w14:paraId="60E3ED0F" w14:textId="121D1CF9" w:rsidR="008D3E27" w:rsidRPr="001823ED" w:rsidRDefault="008D3E27" w:rsidP="008D3E27">
            <w:pPr>
              <w:widowControl w:val="0"/>
              <w:ind w:hanging="113"/>
              <w:jc w:val="center"/>
              <w:rPr>
                <w:rFonts w:cs="Calibri"/>
                <w:sz w:val="20"/>
                <w:szCs w:val="20"/>
              </w:rPr>
            </w:pPr>
            <w:r w:rsidRPr="001823ED">
              <w:rPr>
                <w:rFonts w:cs="Calibri"/>
                <w:sz w:val="20"/>
                <w:szCs w:val="20"/>
              </w:rPr>
              <w:t>59%</w:t>
            </w:r>
          </w:p>
        </w:tc>
        <w:tc>
          <w:tcPr>
            <w:tcW w:w="809" w:type="dxa"/>
            <w:shd w:val="clear" w:color="auto" w:fill="auto"/>
            <w:vAlign w:val="center"/>
          </w:tcPr>
          <w:p w14:paraId="230A4DB7" w14:textId="01ED3987" w:rsidR="008D3E27" w:rsidRPr="001823ED" w:rsidRDefault="008D3E27" w:rsidP="008D3E27">
            <w:pPr>
              <w:widowControl w:val="0"/>
              <w:ind w:hanging="113"/>
              <w:jc w:val="center"/>
              <w:rPr>
                <w:rFonts w:cs="Calibri"/>
                <w:sz w:val="20"/>
                <w:szCs w:val="20"/>
              </w:rPr>
            </w:pPr>
            <w:r w:rsidRPr="001823ED">
              <w:rPr>
                <w:rFonts w:cs="Calibri"/>
                <w:sz w:val="20"/>
                <w:szCs w:val="20"/>
              </w:rPr>
              <w:t>50%</w:t>
            </w:r>
          </w:p>
        </w:tc>
        <w:tc>
          <w:tcPr>
            <w:tcW w:w="809" w:type="dxa"/>
            <w:shd w:val="clear" w:color="auto" w:fill="auto"/>
            <w:vAlign w:val="center"/>
          </w:tcPr>
          <w:p w14:paraId="5D542338" w14:textId="04C4A4F2" w:rsidR="008D3E27" w:rsidRPr="001823ED" w:rsidRDefault="008D3E27" w:rsidP="008D3E27">
            <w:pPr>
              <w:widowControl w:val="0"/>
              <w:ind w:hanging="98"/>
              <w:jc w:val="center"/>
              <w:rPr>
                <w:rFonts w:cs="Calibri"/>
                <w:sz w:val="20"/>
                <w:szCs w:val="20"/>
              </w:rPr>
            </w:pPr>
            <w:r w:rsidRPr="001823ED">
              <w:rPr>
                <w:rFonts w:cs="Calibri"/>
                <w:sz w:val="20"/>
                <w:szCs w:val="20"/>
              </w:rPr>
              <w:t>0%</w:t>
            </w:r>
          </w:p>
        </w:tc>
        <w:tc>
          <w:tcPr>
            <w:tcW w:w="809" w:type="dxa"/>
            <w:shd w:val="clear" w:color="auto" w:fill="auto"/>
            <w:vAlign w:val="center"/>
          </w:tcPr>
          <w:p w14:paraId="7FD80EF4" w14:textId="06F8948A" w:rsidR="008D3E27" w:rsidRPr="001823ED" w:rsidRDefault="008D3E27" w:rsidP="008D3E27">
            <w:pPr>
              <w:widowControl w:val="0"/>
              <w:ind w:hanging="113"/>
              <w:jc w:val="center"/>
              <w:rPr>
                <w:rFonts w:cs="Calibri"/>
                <w:sz w:val="20"/>
                <w:szCs w:val="20"/>
              </w:rPr>
            </w:pPr>
            <w:r w:rsidRPr="001823ED">
              <w:rPr>
                <w:rFonts w:cs="Calibri"/>
                <w:sz w:val="20"/>
                <w:szCs w:val="20"/>
              </w:rPr>
              <w:t>65%</w:t>
            </w:r>
          </w:p>
        </w:tc>
        <w:tc>
          <w:tcPr>
            <w:tcW w:w="809" w:type="dxa"/>
            <w:shd w:val="clear" w:color="auto" w:fill="auto"/>
            <w:vAlign w:val="center"/>
          </w:tcPr>
          <w:p w14:paraId="1EC2B143" w14:textId="09671438" w:rsidR="008D3E27" w:rsidRPr="001823ED" w:rsidRDefault="008D3E27" w:rsidP="008D3E27">
            <w:pPr>
              <w:widowControl w:val="0"/>
              <w:ind w:hanging="113"/>
              <w:jc w:val="center"/>
              <w:rPr>
                <w:rFonts w:cs="Calibri"/>
                <w:sz w:val="20"/>
                <w:szCs w:val="20"/>
              </w:rPr>
            </w:pPr>
            <w:r w:rsidRPr="001823ED">
              <w:rPr>
                <w:rFonts w:cs="Calibri"/>
                <w:sz w:val="20"/>
                <w:szCs w:val="20"/>
              </w:rPr>
              <w:t>23%</w:t>
            </w:r>
          </w:p>
        </w:tc>
        <w:tc>
          <w:tcPr>
            <w:tcW w:w="809" w:type="dxa"/>
            <w:shd w:val="clear" w:color="auto" w:fill="D9D9D9" w:themeFill="background1" w:themeFillShade="D9"/>
            <w:vAlign w:val="center"/>
          </w:tcPr>
          <w:p w14:paraId="2E170C51" w14:textId="77777777" w:rsidR="008D3E27" w:rsidRPr="001823ED" w:rsidRDefault="008D3E27" w:rsidP="008D3E27">
            <w:pPr>
              <w:widowControl w:val="0"/>
              <w:ind w:hanging="113"/>
              <w:jc w:val="center"/>
              <w:rPr>
                <w:rFonts w:cs="Calibri"/>
                <w:sz w:val="20"/>
                <w:szCs w:val="20"/>
              </w:rPr>
            </w:pPr>
          </w:p>
        </w:tc>
        <w:tc>
          <w:tcPr>
            <w:tcW w:w="809" w:type="dxa"/>
            <w:shd w:val="clear" w:color="auto" w:fill="auto"/>
            <w:vAlign w:val="center"/>
          </w:tcPr>
          <w:p w14:paraId="45404303" w14:textId="527F655D" w:rsidR="008D3E27" w:rsidRPr="001823ED" w:rsidRDefault="008D3E27" w:rsidP="008D3E27">
            <w:pPr>
              <w:widowControl w:val="0"/>
              <w:ind w:hanging="113"/>
              <w:jc w:val="center"/>
              <w:rPr>
                <w:rFonts w:cs="Calibri"/>
                <w:sz w:val="20"/>
                <w:szCs w:val="20"/>
              </w:rPr>
            </w:pPr>
            <w:r w:rsidRPr="001823ED">
              <w:rPr>
                <w:rFonts w:cs="Calibri"/>
                <w:sz w:val="20"/>
                <w:szCs w:val="20"/>
              </w:rPr>
              <w:t>60%</w:t>
            </w:r>
          </w:p>
        </w:tc>
        <w:tc>
          <w:tcPr>
            <w:tcW w:w="809" w:type="dxa"/>
            <w:shd w:val="clear" w:color="auto" w:fill="auto"/>
            <w:vAlign w:val="center"/>
          </w:tcPr>
          <w:p w14:paraId="4D579DC9" w14:textId="7C607C7C" w:rsidR="008D3E27" w:rsidRPr="001823ED" w:rsidRDefault="008D3E27" w:rsidP="008D3E27">
            <w:pPr>
              <w:widowControl w:val="0"/>
              <w:ind w:hanging="113"/>
              <w:jc w:val="center"/>
              <w:rPr>
                <w:rFonts w:cs="Calibri"/>
                <w:sz w:val="20"/>
                <w:szCs w:val="20"/>
              </w:rPr>
            </w:pPr>
            <w:r w:rsidRPr="001823ED">
              <w:rPr>
                <w:rFonts w:cs="Calibri"/>
                <w:sz w:val="20"/>
                <w:szCs w:val="20"/>
              </w:rPr>
              <w:t>73%</w:t>
            </w:r>
          </w:p>
        </w:tc>
        <w:tc>
          <w:tcPr>
            <w:tcW w:w="809" w:type="dxa"/>
            <w:shd w:val="clear" w:color="auto" w:fill="auto"/>
            <w:vAlign w:val="center"/>
          </w:tcPr>
          <w:p w14:paraId="354CFDBD" w14:textId="1C949E8E" w:rsidR="008D3E27" w:rsidRPr="001823ED" w:rsidRDefault="008D3E27" w:rsidP="008D3E27">
            <w:pPr>
              <w:widowControl w:val="0"/>
              <w:ind w:right="45" w:hanging="113"/>
              <w:jc w:val="center"/>
              <w:rPr>
                <w:rFonts w:cs="Calibri"/>
                <w:sz w:val="20"/>
                <w:szCs w:val="20"/>
              </w:rPr>
            </w:pPr>
            <w:r w:rsidRPr="001823ED">
              <w:rPr>
                <w:rFonts w:cs="Calibri"/>
                <w:sz w:val="20"/>
                <w:szCs w:val="20"/>
              </w:rPr>
              <w:t>51%</w:t>
            </w:r>
          </w:p>
        </w:tc>
        <w:tc>
          <w:tcPr>
            <w:tcW w:w="809" w:type="dxa"/>
            <w:shd w:val="clear" w:color="auto" w:fill="auto"/>
            <w:vAlign w:val="center"/>
          </w:tcPr>
          <w:p w14:paraId="65AF0DB4" w14:textId="0C936AA8" w:rsidR="008D3E27" w:rsidRPr="001823ED" w:rsidRDefault="008D3E27" w:rsidP="008D3E27">
            <w:pPr>
              <w:widowControl w:val="0"/>
              <w:ind w:right="5" w:hanging="88"/>
              <w:jc w:val="center"/>
              <w:rPr>
                <w:rFonts w:cs="Calibri"/>
                <w:sz w:val="20"/>
                <w:szCs w:val="20"/>
              </w:rPr>
            </w:pPr>
            <w:r w:rsidRPr="001823ED">
              <w:rPr>
                <w:rFonts w:cs="Calibri"/>
                <w:sz w:val="20"/>
                <w:szCs w:val="20"/>
              </w:rPr>
              <w:t>21%</w:t>
            </w:r>
          </w:p>
        </w:tc>
        <w:tc>
          <w:tcPr>
            <w:tcW w:w="809" w:type="dxa"/>
            <w:shd w:val="clear" w:color="auto" w:fill="auto"/>
            <w:vAlign w:val="center"/>
          </w:tcPr>
          <w:p w14:paraId="07ADAEA0" w14:textId="0E6F63EF" w:rsidR="008D3E27" w:rsidRPr="001823ED" w:rsidRDefault="008D3E27" w:rsidP="008D3E27">
            <w:pPr>
              <w:widowControl w:val="0"/>
              <w:ind w:hanging="113"/>
              <w:jc w:val="center"/>
              <w:rPr>
                <w:rFonts w:cs="Calibri"/>
                <w:sz w:val="20"/>
                <w:szCs w:val="20"/>
              </w:rPr>
            </w:pPr>
            <w:r w:rsidRPr="001823ED">
              <w:rPr>
                <w:rFonts w:cs="Calibri"/>
                <w:sz w:val="20"/>
                <w:szCs w:val="20"/>
              </w:rPr>
              <w:t>14%</w:t>
            </w:r>
          </w:p>
        </w:tc>
      </w:tr>
      <w:tr w:rsidR="008D3E27" w:rsidRPr="001823ED" w14:paraId="47D0BC4F" w14:textId="77777777" w:rsidTr="00981270">
        <w:trPr>
          <w:trHeight w:val="151"/>
        </w:trPr>
        <w:tc>
          <w:tcPr>
            <w:tcW w:w="1128" w:type="dxa"/>
            <w:vMerge/>
            <w:shd w:val="clear" w:color="auto" w:fill="auto"/>
          </w:tcPr>
          <w:p w14:paraId="2363818A" w14:textId="77777777" w:rsidR="008D3E27" w:rsidRPr="001823ED" w:rsidRDefault="008D3E27" w:rsidP="008D3E27">
            <w:pPr>
              <w:widowControl w:val="0"/>
              <w:ind w:firstLine="360"/>
              <w:rPr>
                <w:rFonts w:cs="Calibri"/>
              </w:rPr>
            </w:pPr>
          </w:p>
        </w:tc>
        <w:tc>
          <w:tcPr>
            <w:tcW w:w="3264" w:type="dxa"/>
            <w:shd w:val="clear" w:color="auto" w:fill="auto"/>
            <w:vAlign w:val="center"/>
          </w:tcPr>
          <w:p w14:paraId="3B6D522A" w14:textId="77777777" w:rsidR="008D3E27" w:rsidRPr="001823ED" w:rsidRDefault="008D3E27" w:rsidP="008D3E27">
            <w:pPr>
              <w:widowControl w:val="0"/>
              <w:rPr>
                <w:sz w:val="20"/>
                <w:szCs w:val="20"/>
              </w:rPr>
            </w:pPr>
            <w:r w:rsidRPr="001823ED">
              <w:rPr>
                <w:rFonts w:cs="Calibri"/>
                <w:sz w:val="20"/>
                <w:szCs w:val="20"/>
              </w:rPr>
              <w:t>Other/mixed</w:t>
            </w:r>
          </w:p>
        </w:tc>
        <w:tc>
          <w:tcPr>
            <w:tcW w:w="808" w:type="dxa"/>
            <w:shd w:val="clear" w:color="auto" w:fill="auto"/>
            <w:tcMar>
              <w:left w:w="0" w:type="dxa"/>
              <w:right w:w="0" w:type="dxa"/>
            </w:tcMar>
            <w:vAlign w:val="center"/>
          </w:tcPr>
          <w:p w14:paraId="6BF5F696" w14:textId="77777777" w:rsidR="008D3E27" w:rsidRPr="001823ED" w:rsidRDefault="008D3E27" w:rsidP="008D3E27">
            <w:pPr>
              <w:widowControl w:val="0"/>
              <w:ind w:hanging="84"/>
              <w:jc w:val="center"/>
              <w:rPr>
                <w:sz w:val="20"/>
                <w:szCs w:val="20"/>
              </w:rPr>
            </w:pPr>
            <w:r w:rsidRPr="001823ED">
              <w:rPr>
                <w:rFonts w:cs="Calibri"/>
                <w:sz w:val="20"/>
                <w:szCs w:val="20"/>
              </w:rPr>
              <w:t>6%</w:t>
            </w:r>
          </w:p>
        </w:tc>
        <w:tc>
          <w:tcPr>
            <w:tcW w:w="809" w:type="dxa"/>
            <w:shd w:val="clear" w:color="auto" w:fill="auto"/>
            <w:vAlign w:val="center"/>
          </w:tcPr>
          <w:p w14:paraId="5601D6D2" w14:textId="77777777" w:rsidR="008D3E27" w:rsidRPr="001823ED" w:rsidRDefault="008D3E27" w:rsidP="008D3E27">
            <w:pPr>
              <w:widowControl w:val="0"/>
              <w:ind w:hanging="113"/>
              <w:jc w:val="center"/>
              <w:rPr>
                <w:sz w:val="20"/>
                <w:szCs w:val="20"/>
              </w:rPr>
            </w:pPr>
            <w:r w:rsidRPr="001823ED">
              <w:rPr>
                <w:rFonts w:cs="Calibri"/>
                <w:sz w:val="20"/>
                <w:szCs w:val="20"/>
              </w:rPr>
              <w:t>25%</w:t>
            </w:r>
          </w:p>
        </w:tc>
        <w:tc>
          <w:tcPr>
            <w:tcW w:w="809" w:type="dxa"/>
            <w:shd w:val="clear" w:color="auto" w:fill="auto"/>
            <w:vAlign w:val="center"/>
          </w:tcPr>
          <w:p w14:paraId="1F9B19B9" w14:textId="77777777" w:rsidR="008D3E27" w:rsidRPr="001823ED" w:rsidRDefault="008D3E27" w:rsidP="008D3E27">
            <w:pPr>
              <w:widowControl w:val="0"/>
              <w:ind w:hanging="113"/>
              <w:jc w:val="center"/>
              <w:rPr>
                <w:sz w:val="20"/>
                <w:szCs w:val="20"/>
              </w:rPr>
            </w:pPr>
            <w:r w:rsidRPr="001823ED">
              <w:rPr>
                <w:rFonts w:cs="Calibri"/>
                <w:sz w:val="20"/>
                <w:szCs w:val="20"/>
              </w:rPr>
              <w:t>0%</w:t>
            </w:r>
          </w:p>
        </w:tc>
        <w:tc>
          <w:tcPr>
            <w:tcW w:w="809" w:type="dxa"/>
            <w:shd w:val="clear" w:color="auto" w:fill="auto"/>
            <w:vAlign w:val="center"/>
          </w:tcPr>
          <w:p w14:paraId="1C36831C" w14:textId="77777777" w:rsidR="008D3E27" w:rsidRPr="001823ED" w:rsidRDefault="008D3E27" w:rsidP="008D3E27">
            <w:pPr>
              <w:widowControl w:val="0"/>
              <w:ind w:hanging="98"/>
              <w:jc w:val="center"/>
              <w:rPr>
                <w:sz w:val="20"/>
                <w:szCs w:val="20"/>
              </w:rPr>
            </w:pPr>
            <w:r w:rsidRPr="001823ED">
              <w:rPr>
                <w:rFonts w:cs="Calibri"/>
                <w:sz w:val="20"/>
                <w:szCs w:val="20"/>
              </w:rPr>
              <w:t>0%</w:t>
            </w:r>
          </w:p>
        </w:tc>
        <w:tc>
          <w:tcPr>
            <w:tcW w:w="809" w:type="dxa"/>
            <w:shd w:val="clear" w:color="auto" w:fill="auto"/>
            <w:vAlign w:val="center"/>
          </w:tcPr>
          <w:p w14:paraId="725085C9" w14:textId="77777777" w:rsidR="008D3E27" w:rsidRPr="001823ED" w:rsidRDefault="008D3E27" w:rsidP="008D3E27">
            <w:pPr>
              <w:widowControl w:val="0"/>
              <w:ind w:hanging="113"/>
              <w:jc w:val="center"/>
              <w:rPr>
                <w:sz w:val="20"/>
                <w:szCs w:val="20"/>
              </w:rPr>
            </w:pPr>
            <w:r w:rsidRPr="001823ED">
              <w:rPr>
                <w:rFonts w:cs="Calibri"/>
                <w:sz w:val="20"/>
                <w:szCs w:val="20"/>
              </w:rPr>
              <w:t>0%</w:t>
            </w:r>
          </w:p>
        </w:tc>
        <w:tc>
          <w:tcPr>
            <w:tcW w:w="809" w:type="dxa"/>
            <w:shd w:val="clear" w:color="auto" w:fill="auto"/>
            <w:vAlign w:val="center"/>
          </w:tcPr>
          <w:p w14:paraId="16296E34" w14:textId="77777777" w:rsidR="008D3E27" w:rsidRPr="001823ED" w:rsidRDefault="008D3E27" w:rsidP="008D3E27">
            <w:pPr>
              <w:widowControl w:val="0"/>
              <w:ind w:hanging="113"/>
              <w:jc w:val="center"/>
              <w:rPr>
                <w:sz w:val="20"/>
                <w:szCs w:val="20"/>
              </w:rPr>
            </w:pPr>
            <w:r w:rsidRPr="001823ED">
              <w:rPr>
                <w:rFonts w:cs="Calibri"/>
                <w:sz w:val="20"/>
                <w:szCs w:val="20"/>
              </w:rPr>
              <w:t>13%</w:t>
            </w:r>
          </w:p>
        </w:tc>
        <w:tc>
          <w:tcPr>
            <w:tcW w:w="809" w:type="dxa"/>
            <w:shd w:val="clear" w:color="auto" w:fill="auto"/>
            <w:vAlign w:val="center"/>
          </w:tcPr>
          <w:p w14:paraId="4E756FDF" w14:textId="77777777" w:rsidR="008D3E27" w:rsidRPr="001823ED" w:rsidRDefault="008D3E27" w:rsidP="008D3E27">
            <w:pPr>
              <w:widowControl w:val="0"/>
              <w:ind w:hanging="113"/>
              <w:jc w:val="center"/>
              <w:rPr>
                <w:sz w:val="20"/>
                <w:szCs w:val="20"/>
              </w:rPr>
            </w:pPr>
            <w:r w:rsidRPr="001823ED">
              <w:rPr>
                <w:rFonts w:cs="Calibri"/>
                <w:sz w:val="20"/>
                <w:szCs w:val="20"/>
              </w:rPr>
              <w:t>31%</w:t>
            </w:r>
          </w:p>
        </w:tc>
        <w:tc>
          <w:tcPr>
            <w:tcW w:w="809" w:type="dxa"/>
            <w:shd w:val="clear" w:color="auto" w:fill="auto"/>
            <w:vAlign w:val="center"/>
          </w:tcPr>
          <w:p w14:paraId="0A519395" w14:textId="77777777" w:rsidR="008D3E27" w:rsidRPr="001823ED" w:rsidRDefault="008D3E27" w:rsidP="008D3E27">
            <w:pPr>
              <w:widowControl w:val="0"/>
              <w:ind w:hanging="113"/>
              <w:jc w:val="center"/>
              <w:rPr>
                <w:sz w:val="20"/>
                <w:szCs w:val="20"/>
              </w:rPr>
            </w:pPr>
            <w:r w:rsidRPr="001823ED">
              <w:rPr>
                <w:rFonts w:cs="Calibri"/>
                <w:sz w:val="20"/>
                <w:szCs w:val="20"/>
              </w:rPr>
              <w:t>24%</w:t>
            </w:r>
          </w:p>
        </w:tc>
        <w:tc>
          <w:tcPr>
            <w:tcW w:w="809" w:type="dxa"/>
            <w:shd w:val="clear" w:color="auto" w:fill="auto"/>
            <w:vAlign w:val="center"/>
          </w:tcPr>
          <w:p w14:paraId="76977F3C" w14:textId="77777777" w:rsidR="008D3E27" w:rsidRPr="001823ED" w:rsidRDefault="008D3E27" w:rsidP="008D3E27">
            <w:pPr>
              <w:widowControl w:val="0"/>
              <w:ind w:hanging="113"/>
              <w:jc w:val="center"/>
              <w:rPr>
                <w:sz w:val="20"/>
                <w:szCs w:val="20"/>
              </w:rPr>
            </w:pPr>
            <w:r w:rsidRPr="001823ED">
              <w:rPr>
                <w:rFonts w:cs="Calibri"/>
                <w:sz w:val="20"/>
                <w:szCs w:val="20"/>
              </w:rPr>
              <w:t>16%</w:t>
            </w:r>
          </w:p>
        </w:tc>
        <w:tc>
          <w:tcPr>
            <w:tcW w:w="809" w:type="dxa"/>
            <w:shd w:val="clear" w:color="auto" w:fill="auto"/>
            <w:vAlign w:val="center"/>
          </w:tcPr>
          <w:p w14:paraId="2CF92546" w14:textId="77777777" w:rsidR="008D3E27" w:rsidRPr="001823ED" w:rsidRDefault="008D3E27" w:rsidP="008D3E27">
            <w:pPr>
              <w:widowControl w:val="0"/>
              <w:ind w:right="45" w:hanging="113"/>
              <w:jc w:val="center"/>
              <w:rPr>
                <w:sz w:val="20"/>
                <w:szCs w:val="20"/>
              </w:rPr>
            </w:pPr>
            <w:r w:rsidRPr="001823ED">
              <w:rPr>
                <w:rFonts w:cs="Calibri"/>
                <w:sz w:val="20"/>
                <w:szCs w:val="20"/>
              </w:rPr>
              <w:t>0%</w:t>
            </w:r>
          </w:p>
        </w:tc>
        <w:tc>
          <w:tcPr>
            <w:tcW w:w="809" w:type="dxa"/>
            <w:shd w:val="clear" w:color="auto" w:fill="auto"/>
            <w:vAlign w:val="center"/>
          </w:tcPr>
          <w:p w14:paraId="6D17A74C" w14:textId="77777777" w:rsidR="008D3E27" w:rsidRPr="001823ED" w:rsidRDefault="008D3E27" w:rsidP="008D3E27">
            <w:pPr>
              <w:widowControl w:val="0"/>
              <w:ind w:right="5" w:hanging="88"/>
              <w:jc w:val="center"/>
              <w:rPr>
                <w:sz w:val="20"/>
                <w:szCs w:val="20"/>
              </w:rPr>
            </w:pPr>
            <w:r w:rsidRPr="001823ED">
              <w:rPr>
                <w:rFonts w:cs="Calibri"/>
                <w:sz w:val="20"/>
                <w:szCs w:val="20"/>
              </w:rPr>
              <w:t>4%</w:t>
            </w:r>
          </w:p>
        </w:tc>
        <w:tc>
          <w:tcPr>
            <w:tcW w:w="809" w:type="dxa"/>
            <w:shd w:val="clear" w:color="auto" w:fill="auto"/>
            <w:vAlign w:val="center"/>
          </w:tcPr>
          <w:p w14:paraId="3F7A09A4" w14:textId="77777777" w:rsidR="008D3E27" w:rsidRPr="001823ED" w:rsidRDefault="008D3E27" w:rsidP="008D3E27">
            <w:pPr>
              <w:widowControl w:val="0"/>
              <w:ind w:hanging="113"/>
              <w:jc w:val="center"/>
              <w:rPr>
                <w:sz w:val="20"/>
                <w:szCs w:val="20"/>
              </w:rPr>
            </w:pPr>
            <w:r w:rsidRPr="001823ED">
              <w:rPr>
                <w:rFonts w:cs="Calibri"/>
                <w:sz w:val="20"/>
                <w:szCs w:val="20"/>
              </w:rPr>
              <w:t>7%</w:t>
            </w:r>
          </w:p>
        </w:tc>
      </w:tr>
      <w:tr w:rsidR="008D3E27" w:rsidRPr="001823ED" w14:paraId="4F44D548" w14:textId="77777777" w:rsidTr="00981270">
        <w:trPr>
          <w:trHeight w:val="151"/>
        </w:trPr>
        <w:tc>
          <w:tcPr>
            <w:tcW w:w="1128" w:type="dxa"/>
            <w:shd w:val="clear" w:color="auto" w:fill="auto"/>
          </w:tcPr>
          <w:p w14:paraId="2DD4F379" w14:textId="77777777" w:rsidR="008D3E27" w:rsidRPr="001823ED" w:rsidRDefault="008D3E27" w:rsidP="008D3E27">
            <w:pPr>
              <w:widowControl w:val="0"/>
              <w:ind w:firstLine="360"/>
              <w:rPr>
                <w:rFonts w:cs="Calibri"/>
              </w:rPr>
            </w:pPr>
          </w:p>
        </w:tc>
        <w:tc>
          <w:tcPr>
            <w:tcW w:w="3264" w:type="dxa"/>
            <w:shd w:val="clear" w:color="auto" w:fill="auto"/>
            <w:vAlign w:val="center"/>
          </w:tcPr>
          <w:p w14:paraId="5D8D3B74" w14:textId="77777777" w:rsidR="008D3E27" w:rsidRPr="001823ED" w:rsidRDefault="008D3E27" w:rsidP="008D3E27">
            <w:pPr>
              <w:widowControl w:val="0"/>
              <w:rPr>
                <w:rFonts w:cs="Calibri"/>
                <w:sz w:val="20"/>
                <w:szCs w:val="20"/>
              </w:rPr>
            </w:pPr>
            <w:r w:rsidRPr="001823ED">
              <w:rPr>
                <w:rFonts w:cs="Calibri"/>
                <w:sz w:val="20"/>
                <w:szCs w:val="20"/>
              </w:rPr>
              <w:t>Control for confounders (either statistically or by matching)</w:t>
            </w:r>
          </w:p>
        </w:tc>
        <w:tc>
          <w:tcPr>
            <w:tcW w:w="808" w:type="dxa"/>
            <w:shd w:val="clear" w:color="auto" w:fill="auto"/>
            <w:tcMar>
              <w:left w:w="0" w:type="dxa"/>
              <w:right w:w="0" w:type="dxa"/>
            </w:tcMar>
            <w:vAlign w:val="center"/>
          </w:tcPr>
          <w:p w14:paraId="0E2EAA75" w14:textId="77777777" w:rsidR="008D3E27" w:rsidRPr="001823ED" w:rsidRDefault="008D3E27" w:rsidP="008D3E27">
            <w:pPr>
              <w:widowControl w:val="0"/>
              <w:ind w:hanging="84"/>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F4E11C3"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610C35B6"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2C757916" w14:textId="16F4FA57" w:rsidR="008D3E27" w:rsidRPr="001823ED" w:rsidRDefault="008D3E27" w:rsidP="008D3E27">
            <w:pPr>
              <w:widowControl w:val="0"/>
              <w:ind w:hanging="98"/>
              <w:jc w:val="center"/>
              <w:rPr>
                <w:rFonts w:cs="Segoe UI Symbol"/>
                <w:sz w:val="12"/>
                <w:szCs w:val="12"/>
              </w:rPr>
            </w:pPr>
            <w:r w:rsidRPr="001823ED">
              <w:rPr>
                <w:rFonts w:cs="Segoe UI Symbol"/>
                <w:sz w:val="12"/>
                <w:szCs w:val="12"/>
              </w:rPr>
              <w:t>Omitted previous</w:t>
            </w:r>
          </w:p>
          <w:p w14:paraId="31B2FF09" w14:textId="5D594B0E" w:rsidR="008D3E27" w:rsidRPr="001823ED" w:rsidRDefault="008D3E27" w:rsidP="008D3E27">
            <w:pPr>
              <w:widowControl w:val="0"/>
              <w:ind w:hanging="98"/>
              <w:jc w:val="center"/>
              <w:rPr>
                <w:rFonts w:cs="Calibri"/>
                <w:sz w:val="16"/>
                <w:szCs w:val="16"/>
              </w:rPr>
            </w:pPr>
            <w:r w:rsidRPr="001823ED">
              <w:rPr>
                <w:rFonts w:cs="Segoe UI Symbol"/>
                <w:sz w:val="12"/>
                <w:szCs w:val="12"/>
              </w:rPr>
              <w:t>antibiotics</w:t>
            </w:r>
          </w:p>
        </w:tc>
        <w:tc>
          <w:tcPr>
            <w:tcW w:w="809" w:type="dxa"/>
            <w:shd w:val="clear" w:color="auto" w:fill="auto"/>
            <w:vAlign w:val="center"/>
          </w:tcPr>
          <w:p w14:paraId="3AEEBF08" w14:textId="77777777" w:rsidR="008D3E27" w:rsidRPr="001823ED" w:rsidRDefault="008D3E27" w:rsidP="008D3E27">
            <w:pPr>
              <w:widowControl w:val="0"/>
              <w:ind w:hanging="113"/>
              <w:jc w:val="center"/>
              <w:rPr>
                <w:rFonts w:cs="Calibri"/>
                <w:sz w:val="12"/>
                <w:szCs w:val="12"/>
              </w:rPr>
            </w:pPr>
            <w:r w:rsidRPr="001823ED">
              <w:rPr>
                <w:rFonts w:cs="Calibri"/>
                <w:sz w:val="12"/>
                <w:szCs w:val="12"/>
              </w:rPr>
              <w:t>Age, BMI, ethnicity</w:t>
            </w:r>
          </w:p>
        </w:tc>
        <w:tc>
          <w:tcPr>
            <w:tcW w:w="809" w:type="dxa"/>
            <w:shd w:val="clear" w:color="auto" w:fill="auto"/>
            <w:vAlign w:val="center"/>
          </w:tcPr>
          <w:p w14:paraId="742369AC"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0D99EE8A" w14:textId="77777777" w:rsidR="008D3E27" w:rsidRPr="001823ED" w:rsidRDefault="008D3E27" w:rsidP="008D3E27">
            <w:pPr>
              <w:widowControl w:val="0"/>
              <w:ind w:hanging="113"/>
              <w:jc w:val="center"/>
              <w:rPr>
                <w:rFonts w:cs="Calibri"/>
                <w:sz w:val="12"/>
                <w:szCs w:val="12"/>
              </w:rPr>
            </w:pPr>
            <w:r w:rsidRPr="001823ED">
              <w:rPr>
                <w:rFonts w:cs="Calibri"/>
                <w:sz w:val="12"/>
                <w:szCs w:val="12"/>
              </w:rPr>
              <w:t>GA at sampling</w:t>
            </w:r>
          </w:p>
        </w:tc>
        <w:tc>
          <w:tcPr>
            <w:tcW w:w="809" w:type="dxa"/>
            <w:shd w:val="clear" w:color="auto" w:fill="auto"/>
            <w:vAlign w:val="center"/>
          </w:tcPr>
          <w:p w14:paraId="6560CBC5"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4D7621C7" w14:textId="77777777" w:rsidR="008D3E27" w:rsidRPr="001823ED" w:rsidRDefault="008D3E27" w:rsidP="008D3E27">
            <w:pPr>
              <w:widowControl w:val="0"/>
              <w:ind w:hanging="113"/>
              <w:jc w:val="center"/>
              <w:rPr>
                <w:rFonts w:cs="Calibri"/>
                <w:sz w:val="12"/>
                <w:szCs w:val="12"/>
              </w:rPr>
            </w:pPr>
            <w:r w:rsidRPr="001823ED">
              <w:rPr>
                <w:rFonts w:cs="Calibri"/>
                <w:sz w:val="12"/>
                <w:szCs w:val="12"/>
              </w:rPr>
              <w:t>GA at sampling</w:t>
            </w:r>
          </w:p>
        </w:tc>
        <w:tc>
          <w:tcPr>
            <w:tcW w:w="809" w:type="dxa"/>
            <w:shd w:val="clear" w:color="auto" w:fill="auto"/>
            <w:vAlign w:val="center"/>
          </w:tcPr>
          <w:p w14:paraId="47FAA7A2" w14:textId="77777777" w:rsidR="008D3E27" w:rsidRPr="001823ED" w:rsidRDefault="008D3E27" w:rsidP="008D3E27">
            <w:pPr>
              <w:widowControl w:val="0"/>
              <w:ind w:right="45" w:hanging="113"/>
              <w:jc w:val="center"/>
              <w:rPr>
                <w:rFonts w:cs="Calibri"/>
                <w:sz w:val="12"/>
                <w:szCs w:val="12"/>
              </w:rPr>
            </w:pPr>
            <w:r w:rsidRPr="001823ED">
              <w:rPr>
                <w:rFonts w:cs="Calibri"/>
                <w:sz w:val="12"/>
                <w:szCs w:val="12"/>
              </w:rPr>
              <w:t>Age, BMI, ethnicity</w:t>
            </w:r>
          </w:p>
        </w:tc>
        <w:tc>
          <w:tcPr>
            <w:tcW w:w="809" w:type="dxa"/>
            <w:shd w:val="clear" w:color="auto" w:fill="auto"/>
            <w:vAlign w:val="center"/>
          </w:tcPr>
          <w:p w14:paraId="75FDD19B" w14:textId="77777777" w:rsidR="008D3E27" w:rsidRPr="001823ED" w:rsidRDefault="008D3E27" w:rsidP="008D3E27">
            <w:pPr>
              <w:widowControl w:val="0"/>
              <w:ind w:right="5" w:hanging="88"/>
              <w:jc w:val="center"/>
              <w:rPr>
                <w:rFonts w:cs="Calibri"/>
                <w:sz w:val="12"/>
                <w:szCs w:val="12"/>
              </w:rPr>
            </w:pPr>
            <w:r w:rsidRPr="001823ED">
              <w:rPr>
                <w:rFonts w:cs="Calibri"/>
                <w:sz w:val="12"/>
                <w:szCs w:val="12"/>
              </w:rPr>
              <w:t>Ethnicity</w:t>
            </w:r>
          </w:p>
        </w:tc>
        <w:tc>
          <w:tcPr>
            <w:tcW w:w="809" w:type="dxa"/>
            <w:shd w:val="clear" w:color="auto" w:fill="auto"/>
            <w:vAlign w:val="center"/>
          </w:tcPr>
          <w:p w14:paraId="255F2CC2" w14:textId="77777777" w:rsidR="008D3E27" w:rsidRPr="001823ED" w:rsidRDefault="008D3E27" w:rsidP="008D3E27">
            <w:pPr>
              <w:widowControl w:val="0"/>
              <w:ind w:hanging="113"/>
              <w:jc w:val="center"/>
              <w:rPr>
                <w:rFonts w:cs="Calibri"/>
                <w:sz w:val="12"/>
                <w:szCs w:val="12"/>
              </w:rPr>
            </w:pPr>
            <w:r w:rsidRPr="001823ED">
              <w:rPr>
                <w:rFonts w:cs="Calibri"/>
                <w:sz w:val="12"/>
                <w:szCs w:val="12"/>
              </w:rPr>
              <w:t>Age, race, income</w:t>
            </w:r>
          </w:p>
        </w:tc>
      </w:tr>
      <w:tr w:rsidR="008D3E27" w:rsidRPr="001823ED" w14:paraId="34FA4E6D" w14:textId="77777777" w:rsidTr="00981270">
        <w:trPr>
          <w:cantSplit/>
          <w:trHeight w:val="386"/>
        </w:trPr>
        <w:tc>
          <w:tcPr>
            <w:tcW w:w="4392" w:type="dxa"/>
            <w:gridSpan w:val="2"/>
            <w:shd w:val="clear" w:color="auto" w:fill="auto"/>
            <w:vAlign w:val="center"/>
          </w:tcPr>
          <w:p w14:paraId="1EB71DF3" w14:textId="77777777" w:rsidR="008D3E27" w:rsidRPr="001823ED" w:rsidRDefault="008D3E27" w:rsidP="008D3E27">
            <w:pPr>
              <w:widowControl w:val="0"/>
              <w:rPr>
                <w:rFonts w:cs="Calibri"/>
                <w:sz w:val="20"/>
                <w:szCs w:val="20"/>
              </w:rPr>
            </w:pPr>
            <w:r w:rsidRPr="001823ED">
              <w:rPr>
                <w:rFonts w:cs="Calibri"/>
                <w:sz w:val="20"/>
                <w:szCs w:val="20"/>
              </w:rPr>
              <w:t>Relationship between VMB and PTB suggested</w:t>
            </w:r>
          </w:p>
        </w:tc>
        <w:tc>
          <w:tcPr>
            <w:tcW w:w="808" w:type="dxa"/>
            <w:shd w:val="clear" w:color="auto" w:fill="auto"/>
            <w:vAlign w:val="center"/>
          </w:tcPr>
          <w:p w14:paraId="7204B13E" w14:textId="77777777" w:rsidR="008D3E27" w:rsidRPr="001823ED" w:rsidRDefault="008D3E27" w:rsidP="008D3E27">
            <w:pPr>
              <w:widowControl w:val="0"/>
              <w:ind w:hanging="84"/>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391079AE"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818E040"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vAlign w:val="center"/>
          </w:tcPr>
          <w:p w14:paraId="7D5FE17F" w14:textId="77777777" w:rsidR="008D3E27" w:rsidRPr="001823ED" w:rsidRDefault="008D3E27" w:rsidP="008D3E27">
            <w:pPr>
              <w:widowControl w:val="0"/>
              <w:ind w:hanging="9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25AB4B4"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CD34910"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0A6C553"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78ECEB2C"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3406F803"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0A655CD7" w14:textId="77777777" w:rsidR="008D3E27" w:rsidRPr="001823ED" w:rsidRDefault="008D3E27" w:rsidP="008D3E27">
            <w:pPr>
              <w:widowControl w:val="0"/>
              <w:ind w:right="45"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6DA75E19" w14:textId="77777777" w:rsidR="008D3E27" w:rsidRPr="001823ED" w:rsidRDefault="008D3E27" w:rsidP="008D3E27">
            <w:pPr>
              <w:widowControl w:val="0"/>
              <w:ind w:right="5" w:hanging="8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vAlign w:val="center"/>
          </w:tcPr>
          <w:p w14:paraId="48D1D58D" w14:textId="77777777" w:rsidR="008D3E27" w:rsidRPr="001823ED" w:rsidRDefault="008D3E27" w:rsidP="008D3E27">
            <w:pPr>
              <w:widowControl w:val="0"/>
              <w:ind w:hanging="113"/>
              <w:jc w:val="center"/>
              <w:rPr>
                <w:rFonts w:cs="Calibri"/>
                <w:sz w:val="20"/>
                <w:szCs w:val="20"/>
              </w:rPr>
            </w:pPr>
            <w:r w:rsidRPr="001823ED">
              <w:rPr>
                <w:rFonts w:ascii="Segoe UI Symbol" w:hAnsi="Segoe UI Symbol" w:cs="Segoe UI Symbol"/>
                <w:b/>
                <w:bCs/>
                <w:sz w:val="20"/>
                <w:szCs w:val="20"/>
              </w:rPr>
              <w:t>✓</w:t>
            </w:r>
          </w:p>
        </w:tc>
      </w:tr>
    </w:tbl>
    <w:p w14:paraId="4099FB62" w14:textId="1B5003DB" w:rsidR="00A21533" w:rsidRPr="001823ED" w:rsidRDefault="00EF35DD" w:rsidP="009D21B5">
      <w:pPr>
        <w:widowControl w:val="0"/>
        <w:rPr>
          <w:rFonts w:cs="Segoe UI Symbol"/>
          <w:sz w:val="16"/>
          <w:szCs w:val="16"/>
        </w:rPr>
      </w:pPr>
      <w:r w:rsidRPr="001823ED">
        <w:rPr>
          <w:rFonts w:cs="Segoe UI Symbol"/>
          <w:sz w:val="16"/>
          <w:szCs w:val="16"/>
          <w:u w:val="single"/>
        </w:rPr>
        <w:t>Abbreviations</w:t>
      </w:r>
      <w:r w:rsidR="00411C71" w:rsidRPr="001823ED">
        <w:rPr>
          <w:rFonts w:cs="Segoe UI Symbol"/>
          <w:sz w:val="16"/>
          <w:szCs w:val="16"/>
        </w:rPr>
        <w:t xml:space="preserve">: </w:t>
      </w:r>
      <w:r w:rsidR="00A21533" w:rsidRPr="001823ED">
        <w:rPr>
          <w:rFonts w:cs="Segoe UI Symbol"/>
          <w:sz w:val="16"/>
          <w:szCs w:val="16"/>
        </w:rPr>
        <w:t>BMI, body mass index; GA, gestational age</w:t>
      </w:r>
      <w:r w:rsidR="00266CE9" w:rsidRPr="001823ED">
        <w:rPr>
          <w:rFonts w:cs="Segoe UI Symbol"/>
          <w:sz w:val="16"/>
          <w:szCs w:val="16"/>
        </w:rPr>
        <w:t>;</w:t>
      </w:r>
      <w:r w:rsidR="00411C71" w:rsidRPr="001823ED">
        <w:rPr>
          <w:rFonts w:cs="Segoe UI Symbol"/>
          <w:sz w:val="16"/>
          <w:szCs w:val="16"/>
        </w:rPr>
        <w:t xml:space="preserve"> </w:t>
      </w:r>
      <w:r w:rsidR="00A21533" w:rsidRPr="001823ED">
        <w:rPr>
          <w:rFonts w:cs="Segoe UI Symbol"/>
          <w:sz w:val="16"/>
          <w:szCs w:val="16"/>
        </w:rPr>
        <w:t xml:space="preserve">NGS, next generation sequencing; </w:t>
      </w:r>
      <w:r w:rsidR="00411C71" w:rsidRPr="001823ED">
        <w:rPr>
          <w:rFonts w:cs="Segoe UI Symbol"/>
          <w:sz w:val="16"/>
          <w:szCs w:val="16"/>
        </w:rPr>
        <w:t>PPROM</w:t>
      </w:r>
      <w:r w:rsidR="00A21533" w:rsidRPr="001823ED">
        <w:rPr>
          <w:rFonts w:cs="Segoe UI Symbol"/>
          <w:sz w:val="16"/>
          <w:szCs w:val="16"/>
        </w:rPr>
        <w:t>, p</w:t>
      </w:r>
      <w:r w:rsidR="00411C71" w:rsidRPr="001823ED">
        <w:rPr>
          <w:rFonts w:cs="Segoe UI Symbol"/>
          <w:sz w:val="16"/>
          <w:szCs w:val="16"/>
        </w:rPr>
        <w:t>reterm prelabour rupture of membranes</w:t>
      </w:r>
      <w:r w:rsidR="00266CE9" w:rsidRPr="001823ED">
        <w:rPr>
          <w:rFonts w:cs="Segoe UI Symbol"/>
          <w:sz w:val="16"/>
          <w:szCs w:val="16"/>
        </w:rPr>
        <w:t>;</w:t>
      </w:r>
      <w:r w:rsidR="00493ECF" w:rsidRPr="001823ED">
        <w:rPr>
          <w:rFonts w:cs="Segoe UI Symbol"/>
          <w:sz w:val="16"/>
          <w:szCs w:val="16"/>
        </w:rPr>
        <w:t xml:space="preserve"> qPCR, quantitative PCR;</w:t>
      </w:r>
      <w:r w:rsidR="00A21533" w:rsidRPr="001823ED">
        <w:rPr>
          <w:rFonts w:cs="Segoe UI Symbol"/>
          <w:sz w:val="16"/>
          <w:szCs w:val="16"/>
        </w:rPr>
        <w:t xml:space="preserve"> sPTB, spontaneous preterm birth</w:t>
      </w:r>
      <w:r w:rsidR="00493ECF" w:rsidRPr="001823ED">
        <w:rPr>
          <w:rFonts w:cs="Segoe UI Symbol"/>
          <w:sz w:val="16"/>
          <w:szCs w:val="16"/>
        </w:rPr>
        <w:t>.</w:t>
      </w:r>
      <w:r w:rsidR="00EA00CC" w:rsidRPr="001823ED">
        <w:rPr>
          <w:rFonts w:cs="Segoe UI Symbol"/>
          <w:sz w:val="16"/>
          <w:szCs w:val="16"/>
        </w:rPr>
        <w:t xml:space="preserve"> </w:t>
      </w:r>
    </w:p>
    <w:p w14:paraId="3FEC8303" w14:textId="6D734768" w:rsidR="00411C71" w:rsidRPr="001823ED" w:rsidRDefault="00A21533" w:rsidP="009D21B5">
      <w:pPr>
        <w:widowControl w:val="0"/>
        <w:rPr>
          <w:b/>
          <w:noProof/>
          <w:sz w:val="16"/>
          <w:szCs w:val="16"/>
        </w:rPr>
      </w:pPr>
      <w:r w:rsidRPr="001823ED">
        <w:rPr>
          <w:sz w:val="16"/>
          <w:szCs w:val="16"/>
        </w:rPr>
        <w:t>*</w:t>
      </w:r>
      <w:r w:rsidR="00EA00CC" w:rsidRPr="001823ED">
        <w:rPr>
          <w:sz w:val="16"/>
          <w:szCs w:val="16"/>
        </w:rPr>
        <w:t>Alternate NGS of eukaryotic DNA was performed by ﻿cpn60 universal target sequencing</w:t>
      </w:r>
      <w:r w:rsidR="00EA00CC" w:rsidRPr="001823ED">
        <w:rPr>
          <w:noProof/>
          <w:sz w:val="16"/>
          <w:szCs w:val="16"/>
          <w:vertAlign w:val="superscript"/>
        </w:rPr>
        <w:t>35</w:t>
      </w:r>
      <w:r w:rsidRPr="001823ED">
        <w:rPr>
          <w:sz w:val="16"/>
          <w:szCs w:val="16"/>
        </w:rPr>
        <w:t xml:space="preserve"> and </w:t>
      </w:r>
      <w:r w:rsidR="00EA00CC" w:rsidRPr="001823ED">
        <w:rPr>
          <w:sz w:val="16"/>
          <w:szCs w:val="16"/>
        </w:rPr>
        <w:t>shotgun metagenomic/</w:t>
      </w:r>
      <w:proofErr w:type="spellStart"/>
      <w:r w:rsidR="00EA00CC" w:rsidRPr="001823ED">
        <w:rPr>
          <w:sz w:val="16"/>
          <w:szCs w:val="16"/>
        </w:rPr>
        <w:t>metatranscriptomic</w:t>
      </w:r>
      <w:proofErr w:type="spellEnd"/>
      <w:r w:rsidR="00EA00CC" w:rsidRPr="001823ED">
        <w:rPr>
          <w:sz w:val="16"/>
          <w:szCs w:val="16"/>
        </w:rPr>
        <w:t xml:space="preserve"> sequencing</w:t>
      </w:r>
      <w:r w:rsidR="00EA00CC" w:rsidRPr="001823ED">
        <w:rPr>
          <w:noProof/>
          <w:sz w:val="16"/>
          <w:szCs w:val="16"/>
          <w:vertAlign w:val="superscript"/>
        </w:rPr>
        <w:t>9</w:t>
      </w:r>
      <w:r w:rsidR="00EA00CC" w:rsidRPr="001823ED">
        <w:rPr>
          <w:sz w:val="16"/>
          <w:szCs w:val="16"/>
        </w:rPr>
        <w:t xml:space="preserve">. </w:t>
      </w:r>
      <w:r w:rsidR="00EA00CC" w:rsidRPr="001823ED">
        <w:rPr>
          <w:rFonts w:ascii="Segoe UI Symbol" w:hAnsi="Segoe UI Symbol" w:cs="Segoe UI Symbol"/>
          <w:b/>
          <w:bCs/>
          <w:sz w:val="16"/>
          <w:szCs w:val="16"/>
        </w:rPr>
        <w:t>✓</w:t>
      </w:r>
      <w:r w:rsidR="00EA00CC" w:rsidRPr="001823ED">
        <w:rPr>
          <w:rFonts w:cs="Segoe UI Symbol"/>
          <w:sz w:val="16"/>
          <w:szCs w:val="16"/>
        </w:rPr>
        <w:t xml:space="preserve">=’yes’, </w:t>
      </w:r>
      <w:r w:rsidR="00EA00CC" w:rsidRPr="001823ED">
        <w:rPr>
          <w:rFonts w:ascii="Segoe UI Symbol" w:hAnsi="Segoe UI Symbol" w:cs="Segoe UI Symbol"/>
          <w:sz w:val="16"/>
          <w:szCs w:val="16"/>
        </w:rPr>
        <w:t>✘</w:t>
      </w:r>
      <w:r w:rsidR="00EA00CC" w:rsidRPr="001823ED">
        <w:rPr>
          <w:rFonts w:cs="Segoe UI Symbol"/>
          <w:sz w:val="16"/>
          <w:szCs w:val="16"/>
        </w:rPr>
        <w:t>=</w:t>
      </w:r>
      <w:r w:rsidR="00EA00CC" w:rsidRPr="001823ED">
        <w:rPr>
          <w:rFonts w:cs="Calibri"/>
          <w:sz w:val="16"/>
          <w:szCs w:val="16"/>
        </w:rPr>
        <w:t>’</w:t>
      </w:r>
      <w:r w:rsidR="00EA00CC" w:rsidRPr="001823ED">
        <w:rPr>
          <w:rFonts w:cs="Segoe UI Symbol"/>
          <w:sz w:val="16"/>
          <w:szCs w:val="16"/>
        </w:rPr>
        <w:t>no</w:t>
      </w:r>
      <w:r w:rsidR="00EA00CC" w:rsidRPr="001823ED">
        <w:rPr>
          <w:rFonts w:cs="Calibri"/>
          <w:sz w:val="16"/>
          <w:szCs w:val="16"/>
        </w:rPr>
        <w:t>’</w:t>
      </w:r>
      <w:r w:rsidR="00EA00CC" w:rsidRPr="001823ED">
        <w:rPr>
          <w:rFonts w:cs="Segoe UI Symbol"/>
          <w:sz w:val="16"/>
          <w:szCs w:val="16"/>
        </w:rPr>
        <w:t>. Grey=not available/not applicable.</w:t>
      </w:r>
    </w:p>
    <w:p w14:paraId="6F6AD611" w14:textId="7CFDCB7E" w:rsidR="00411C71" w:rsidRPr="001823ED" w:rsidRDefault="00411C71" w:rsidP="009D21B5">
      <w:pPr>
        <w:widowControl w:val="0"/>
        <w:jc w:val="center"/>
        <w:rPr>
          <w:rFonts w:cs="Segoe UI Symbol"/>
        </w:rPr>
      </w:pPr>
      <w:r w:rsidRPr="001823ED">
        <w:rPr>
          <w:rFonts w:cs="Segoe UI Symbol"/>
        </w:rPr>
        <w:br w:type="page"/>
      </w:r>
    </w:p>
    <w:tbl>
      <w:tblPr>
        <w:tblpPr w:leftFromText="180" w:rightFromText="180" w:vertAnchor="text"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897"/>
        <w:gridCol w:w="898"/>
        <w:gridCol w:w="898"/>
        <w:gridCol w:w="898"/>
        <w:gridCol w:w="897"/>
        <w:gridCol w:w="898"/>
        <w:gridCol w:w="898"/>
        <w:gridCol w:w="898"/>
        <w:gridCol w:w="897"/>
        <w:gridCol w:w="898"/>
        <w:gridCol w:w="898"/>
        <w:gridCol w:w="898"/>
      </w:tblGrid>
      <w:tr w:rsidR="00AD6A09" w:rsidRPr="001823ED" w14:paraId="4A161167" w14:textId="77777777" w:rsidTr="00981270">
        <w:trPr>
          <w:cantSplit/>
          <w:trHeight w:val="789"/>
        </w:trPr>
        <w:tc>
          <w:tcPr>
            <w:tcW w:w="4248" w:type="dxa"/>
            <w:gridSpan w:val="2"/>
            <w:shd w:val="clear" w:color="auto" w:fill="auto"/>
            <w:vAlign w:val="center"/>
          </w:tcPr>
          <w:p w14:paraId="5B6AA680" w14:textId="35D0261A" w:rsidR="00AD6A09" w:rsidRPr="001823ED" w:rsidRDefault="00AD6A09" w:rsidP="00981270">
            <w:pPr>
              <w:widowControl w:val="0"/>
              <w:jc w:val="center"/>
              <w:rPr>
                <w:rFonts w:cs="Calibri"/>
                <w:b/>
                <w:bCs/>
              </w:rPr>
            </w:pPr>
            <w:r w:rsidRPr="001823ED">
              <w:rPr>
                <w:rFonts w:cs="Calibri"/>
                <w:b/>
                <w:bCs/>
              </w:rPr>
              <w:lastRenderedPageBreak/>
              <w:t>Part 2: Findings associated with PTB</w:t>
            </w:r>
          </w:p>
        </w:tc>
        <w:tc>
          <w:tcPr>
            <w:tcW w:w="897" w:type="dxa"/>
            <w:shd w:val="clear" w:color="auto" w:fill="auto"/>
            <w:tcMar>
              <w:top w:w="57" w:type="dxa"/>
              <w:bottom w:w="57" w:type="dxa"/>
            </w:tcMar>
            <w:textDirection w:val="btLr"/>
            <w:vAlign w:val="center"/>
          </w:tcPr>
          <w:p w14:paraId="6C6DC7FD" w14:textId="77777777" w:rsidR="00AD6A09" w:rsidRPr="001823ED" w:rsidRDefault="00AD6A09" w:rsidP="00981270">
            <w:pPr>
              <w:widowControl w:val="0"/>
              <w:ind w:left="113" w:hanging="84"/>
              <w:rPr>
                <w:sz w:val="18"/>
                <w:szCs w:val="18"/>
              </w:rPr>
            </w:pPr>
            <w:r w:rsidRPr="001823ED">
              <w:rPr>
                <w:sz w:val="18"/>
                <w:szCs w:val="18"/>
              </w:rPr>
              <w:t xml:space="preserve">Romero </w:t>
            </w:r>
          </w:p>
          <w:p w14:paraId="25825418" w14:textId="7708B3A7" w:rsidR="00AD6A09" w:rsidRPr="001823ED" w:rsidRDefault="00AD6A09" w:rsidP="00981270">
            <w:pPr>
              <w:widowControl w:val="0"/>
              <w:rPr>
                <w:rFonts w:cs="Calibri"/>
                <w:sz w:val="18"/>
                <w:szCs w:val="18"/>
              </w:rPr>
            </w:pPr>
            <w:r w:rsidRPr="001823ED">
              <w:rPr>
                <w:sz w:val="18"/>
                <w:szCs w:val="18"/>
              </w:rPr>
              <w:t>2014</w:t>
            </w:r>
            <w:r w:rsidRPr="001823ED">
              <w:rPr>
                <w:sz w:val="18"/>
                <w:szCs w:val="18"/>
              </w:rPr>
              <w:fldChar w:fldCharType="begin" w:fldLock="1"/>
            </w:r>
            <w:r w:rsidR="0057070F">
              <w:rPr>
                <w:sz w:val="18"/>
                <w:szCs w:val="18"/>
              </w:rPr>
              <w:instrText>ADDIN CSL_CITATION {"citationItems":[{"id":"ITEM-1","itemData":{"DOI":"10.1186/2049-2618-2-18","ISSN":"2049-2618","abstract":"This study was undertaken to determine whether the vaginal microbiota of pregnant women who subsequently had a spontaneous preterm delivery is different from that of women who had a term delivery. This was a nested case–control study of pregnant women who had a term delivery (controls) and those who had a spontaneous preterm delivery before 34 weeks of gestation (cases). Samples of vaginal fluid were collected longitudinally and stored at −70°C until assayed. A microbial survey using pyrosequencing of V1-V3 regions of 16S rRNA genes was performed. We tested the hypothesis of whether the relative abundance of individual microbial species (phylotypes) was different between women who had a term versus preterm delivery. A suite of bioinformatic and statistical tools, including linear mixed effects models and generalized estimating equations, was used. We show that: 1) the composition of the vaginal microbiota during normal pregnancy changed as a function of gestational age, with an increase in the relative abundance of four Lactobacillus spp., and decreased in anaerobe or strict-anaerobe microbial species as pregnancy progressed; 2) no bacterial taxa differed in relative abundance between women who had a spontaneous preterm delivery and those who delivered at term; and 3) no differences in the frequency of the vaginal community state types (CST I, III, IV-B) between women who delivered at term and those who delivered preterm were detected. The bacterial taxa composition and abundance of vaginal microbial communities, characterized with 16S rRNA gene sequence-based techniques, were not different in pregnant women who subsequently delivered a preterm neonate versus those who delivered at term.","author":[{"dropping-particle":"","family":"Romero","given":"Roberto","non-dropping-particle":"","parse-names":false,"suffix":""},{"dropping-particle":"","family":"Hassan","given":"Sonia S","non-dropping-particle":"","parse-names":false,"suffix":""},{"dropping-particle":"","family":"Gajer","given":"Pawel","non-dropping-particle":"","parse-names":false,"suffix":""},{"dropping-particle":"","family":"Tarca","given":"Adi L","non-dropping-particle":"","parse-names":false,"suffix":""},{"dropping-particle":"","family":"Fadrosh","given":"Douglas W","non-dropping-particle":"","parse-names":false,"suffix":""},{"dropping-particle":"","family":"Bieda","given":"Janine","non-dropping-particle":"","parse-names":false,"suffix":""},{"dropping-particle":"","family":"Chaemsaithong","given":"Piya","non-dropping-particle":"","parse-names":false,"suffix":""},{"dropping-particle":"","family":"Miranda","given":"Jezid","non-dropping-particle":"","parse-names":false,"suffix":""},{"dropping-particle":"","family":"Chaiworapongsa","given":"Tinnakorn","non-dropping-particle":"","parse-names":false,"suffix":""},{"dropping-particle":"","family":"Ravel","given":"Jacques","non-dropping-particle":"","parse-names":false,"suffix":""}],"container-title":"Microbiome","id":"ITEM-1","issue":"1","issued":{"date-parts":[["2014","12","27"]]},"page":"18","publisher":"BioMed Central","title":"The vaginal microbiota of pregnant women who subsequently have spontaneous preterm labor and delivery and those with a normal delivery at term","type":"article-journal","volume":"2"},"uris":["http://www.mendeley.com/documents/?uuid=79396aab-69d2-354e-b41e-d15f4889959b"]}],"mendeley":{"formattedCitation":"&lt;sup&gt;22&lt;/sup&gt;","plainTextFormattedCitation":"22","previouslyFormattedCitation":"&lt;sup&gt;22&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22</w:t>
            </w:r>
            <w:r w:rsidRPr="001823ED">
              <w:rPr>
                <w:sz w:val="18"/>
                <w:szCs w:val="18"/>
              </w:rPr>
              <w:fldChar w:fldCharType="end"/>
            </w:r>
          </w:p>
        </w:tc>
        <w:tc>
          <w:tcPr>
            <w:tcW w:w="898" w:type="dxa"/>
            <w:shd w:val="clear" w:color="auto" w:fill="auto"/>
            <w:tcMar>
              <w:top w:w="57" w:type="dxa"/>
              <w:bottom w:w="57" w:type="dxa"/>
            </w:tcMar>
            <w:textDirection w:val="btLr"/>
            <w:vAlign w:val="center"/>
          </w:tcPr>
          <w:p w14:paraId="38000292" w14:textId="77777777" w:rsidR="00AD6A09" w:rsidRPr="001823ED" w:rsidRDefault="00AD6A09" w:rsidP="00981270">
            <w:pPr>
              <w:widowControl w:val="0"/>
              <w:ind w:left="113" w:hanging="113"/>
              <w:rPr>
                <w:sz w:val="18"/>
                <w:szCs w:val="18"/>
              </w:rPr>
            </w:pPr>
            <w:proofErr w:type="spellStart"/>
            <w:r w:rsidRPr="001823ED">
              <w:rPr>
                <w:sz w:val="18"/>
                <w:szCs w:val="18"/>
              </w:rPr>
              <w:t>DiGiulio</w:t>
            </w:r>
            <w:proofErr w:type="spellEnd"/>
            <w:r w:rsidRPr="001823ED">
              <w:rPr>
                <w:sz w:val="18"/>
                <w:szCs w:val="18"/>
              </w:rPr>
              <w:t xml:space="preserve"> </w:t>
            </w:r>
          </w:p>
          <w:p w14:paraId="13E0DD29" w14:textId="7A60DC19" w:rsidR="00AD6A09" w:rsidRPr="001823ED" w:rsidRDefault="00AD6A09" w:rsidP="00981270">
            <w:pPr>
              <w:widowControl w:val="0"/>
              <w:rPr>
                <w:rFonts w:cs="Calibri"/>
                <w:sz w:val="18"/>
                <w:szCs w:val="18"/>
              </w:rPr>
            </w:pPr>
            <w:r w:rsidRPr="001823ED">
              <w:rPr>
                <w:sz w:val="18"/>
                <w:szCs w:val="18"/>
              </w:rPr>
              <w:t>2015</w:t>
            </w:r>
            <w:r w:rsidRPr="001823ED">
              <w:rPr>
                <w:noProof/>
                <w:sz w:val="18"/>
                <w:szCs w:val="18"/>
                <w:vertAlign w:val="superscript"/>
              </w:rPr>
              <w:fldChar w:fldCharType="begin" w:fldLock="1"/>
            </w:r>
            <w:r w:rsidR="0057070F">
              <w:rPr>
                <w:noProof/>
                <w:sz w:val="18"/>
                <w:szCs w:val="18"/>
                <w:vertAlign w:val="superscript"/>
              </w:rPr>
              <w:instrText>ADDIN CSL_CITATION {"citationItems":[{"id":"ITEM-1","itemData":{"DOI":"10.1073/pnas.1502875112","ISSN":"10916490","abstract":"Despite the critical role of the human microbiota in health, our understanding of microbiota compositional dynamics during and after pregnancy is incomplete. We conducted a case-control study of 49 pregnant women, 15 of whom delivered preterm. From 40 of these women, we analyzed bacterial taxonomic composition of 3,767 specimens collected prospectively and weekly during gestation and monthly after delivery from the vagina, distal gut, saliva, and tooth/gum. Linear mixed-effects modeling, medoid-based clustering, and Markov chain modeling were used to analyze community temporal trends, community structure, and vaginal community state transitions. Microbiota community taxonomic composition and diversity remained remarkably stable at all four body sites during pregnancy (P &gt; 0.05 for trends over time). Prevalence of a Lactobacillus-poor vaginal community state type (CST 4) was inversely correlated with gestational age at delivery (P = 0.0039). Risk for preterm birth was more pronounced for subjects with CST 4 accompanied by elevated Gardnerella or Ureaplasma abundances. This finding was validated with a set of 246 vaginal specimens from nine women (four of whom delivered preterm). Most women experienced a postdelivery disturbance in the vaginal community characterized by a decrease in Lactobacillus species and an increase in diverse anaerobes such as Peptoniphilus, Prevotella, and Anaerococcus species. This disturbance was unrelated to gestational age at delivery and persisted for up to 1 y. These findings have important implications for predicting premature labor, a major global health problem, and for understanding the potential impact of a persistent, altered postpartum microbiota on maternal health, including outcomes of pregnancies following short interpregnancy intervals.","author":[{"dropping-particle":"","family":"DiGiulio","given":"Daniel B.","non-dropping-particle":"","parse-names":false,"suffix":""},{"dropping-particle":"","family":"Callahan","given":"Benjamin J.","non-dropping-particle":"","parse-names":false,"suffix":""},{"dropping-particle":"","family":"McMurdie","given":"Paul J.","non-dropping-particle":"","parse-names":false,"suffix":""},{"dropping-particle":"","family":"Costello","given":"Elizabeth K.","non-dropping-particle":"","parse-names":false,"suffix":""},{"dropping-particle":"","family":"Lyell","given":"Deirdre J.","non-dropping-particle":"","parse-names":false,"suffix":""},{"dropping-particle":"","family":"Robaczewska","given":"Anna","non-dropping-particle":"","parse-names":false,"suffix":""},{"dropping-particle":"","family":"Sun","given":"Christine L.","non-dropping-particle":"","parse-names":false,"suffix":""},{"dropping-particle":"","family":"Goltsman","given":"Daniela S.A.","non-dropping-particle":"","parse-names":false,"suffix":""},{"dropping-particle":"","family":"Wong","given":"Ronald J.","non-dropping-particle":"","parse-names":false,"suffix":""},{"dropping-particle":"","family":"Shawa","given":"Gary","non-dropping-particle":"","parse-names":false,"suffix":""},{"dropping-particle":"","family":"Stevenson","given":"David K.","non-dropping-particle":"","parse-names":false,"suffix":""},{"dropping-particle":"","family":"Holmes","given":"Susan P.","non-dropping-particle":"","parse-names":false,"suffix":""},{"dropping-particle":"","family":"Relman","given":"David A.","non-dropping-particle":"","parse-names":false,"suffix":""}],"container-title":"Proceedings of the National Academy of Sciences of the United States of America","id":"ITEM-1","issue":"35","issued":{"date-parts":[["2015"]]},"page":"11060-11065","title":"Temporal and spatial variation of the human microbiota during pregnancy","type":"article-journal","volume":"112"},"uris":["http://www.mendeley.com/documents/?uuid=90098403-a193-4b03-9fbc-f069e90e1bf0"]}],"mendeley":{"formattedCitation":"&lt;sup&gt;23&lt;/sup&gt;","plainTextFormattedCitation":"23","previouslyFormattedCitation":"&lt;sup&gt;23&lt;/sup&gt;"},"properties":{"noteIndex":0},"schema":"https://github.com/citation-style-language/schema/raw/master/csl-citation.json"}</w:instrText>
            </w:r>
            <w:r w:rsidRPr="001823ED">
              <w:rPr>
                <w:noProof/>
                <w:sz w:val="18"/>
                <w:szCs w:val="18"/>
                <w:vertAlign w:val="superscript"/>
              </w:rPr>
              <w:fldChar w:fldCharType="separate"/>
            </w:r>
            <w:r w:rsidR="00F518EA" w:rsidRPr="00F518EA">
              <w:rPr>
                <w:noProof/>
                <w:sz w:val="18"/>
                <w:szCs w:val="18"/>
                <w:vertAlign w:val="superscript"/>
              </w:rPr>
              <w:t>23</w:t>
            </w:r>
            <w:r w:rsidRPr="001823ED">
              <w:rPr>
                <w:noProof/>
                <w:sz w:val="18"/>
                <w:szCs w:val="18"/>
                <w:vertAlign w:val="superscript"/>
              </w:rPr>
              <w:fldChar w:fldCharType="end"/>
            </w:r>
          </w:p>
        </w:tc>
        <w:tc>
          <w:tcPr>
            <w:tcW w:w="898" w:type="dxa"/>
            <w:shd w:val="clear" w:color="auto" w:fill="auto"/>
            <w:tcMar>
              <w:top w:w="57" w:type="dxa"/>
              <w:bottom w:w="57" w:type="dxa"/>
            </w:tcMar>
            <w:textDirection w:val="btLr"/>
            <w:vAlign w:val="center"/>
          </w:tcPr>
          <w:p w14:paraId="7FDA7ED0" w14:textId="77777777" w:rsidR="00AD6A09" w:rsidRPr="00285C24" w:rsidRDefault="00AD6A09" w:rsidP="00981270">
            <w:pPr>
              <w:widowControl w:val="0"/>
              <w:ind w:left="113" w:hanging="113"/>
              <w:rPr>
                <w:sz w:val="16"/>
                <w:szCs w:val="16"/>
              </w:rPr>
            </w:pPr>
            <w:proofErr w:type="spellStart"/>
            <w:r w:rsidRPr="00285C24">
              <w:rPr>
                <w:sz w:val="16"/>
                <w:szCs w:val="16"/>
              </w:rPr>
              <w:t>Subramania</w:t>
            </w:r>
            <w:proofErr w:type="spellEnd"/>
          </w:p>
          <w:p w14:paraId="34912977" w14:textId="089FFE40" w:rsidR="00AD6A09" w:rsidRPr="001823ED" w:rsidRDefault="00AD6A09" w:rsidP="00981270">
            <w:pPr>
              <w:widowControl w:val="0"/>
              <w:rPr>
                <w:rFonts w:cs="Calibri"/>
                <w:sz w:val="18"/>
                <w:szCs w:val="18"/>
              </w:rPr>
            </w:pPr>
            <w:r w:rsidRPr="001823ED">
              <w:rPr>
                <w:sz w:val="18"/>
                <w:szCs w:val="18"/>
              </w:rPr>
              <w:t>2016</w:t>
            </w:r>
            <w:r w:rsidRPr="001823ED">
              <w:rPr>
                <w:sz w:val="18"/>
                <w:szCs w:val="18"/>
              </w:rPr>
              <w:fldChar w:fldCharType="begin" w:fldLock="1"/>
            </w:r>
            <w:r w:rsidR="0057070F">
              <w:rPr>
                <w:sz w:val="18"/>
                <w:szCs w:val="18"/>
              </w:rPr>
              <w:instrText>ADDIN CSL_CITATION {"citationItems":[{"id":"ITEM-1","itemData":{"DOI":"10.1055/s-0035-1565919","ISSN":"10988785","abstract":"OBJECTIVE This study aims to evaluate vaginal microbiota differences by bacterial vaginosis (BV), birth timing, and race, and to estimate parameters to power future vaginal microbiome studies. METHODS Previously, vaginal swabs were collected at 21 to 25 weeks (stored at -80°C), and vaginal smears evaluated for BV (Nugent criteria). In a blinded fashion, 40 samples were selected, creating 8 equal-sized groups stratified by race (black/white), BV (present/absent), and birth timing (preterm/term). Samples were thawed, DNA extracted, and prepared. Polymerase chain reaction (PCR) with primers targeting the 16S rDNA V4 region was used to prepare an amplicon library. PCR products were sequenced and analyzed using quantitative insight into microbial ecology; taxonomy was assigned using ribosomal database program classifier (threshold 0.8) against the modified Greengenes database. RESULTS After quality control, 97,720 sequences (mean) per sample, single-end 250 base-reads, were analyzed. BV samples had greater microbiota diversity (p &lt; 0.05)-with BVAB1, Prevotella, and unclassified genus, Bifidobacteriaceae family (all p &lt; 0.001) more abundant; there was minimal content of Gardnerella or Mobiluncus. Microbiota did not differ by race or birth timing, but there was an association between certain microbial clusters and preterm birth (p = 0.07). To evaluate this difference, 159 patients per group are needed. CONCLUSIONS There are differences in the vaginal microbiota between patients with and without BV. Larger studies should assess the relationship between microbiota composition and preterm birth.","author":[{"dropping-particle":"","family":"Subramaniam","given":"Akila","non-dropping-particle":"","parse-names":false,"suffix":""},{"dropping-particle":"","family":"Kumar","given":"Ranjit","non-dropping-particle":"","parse-names":false,"suffix":""},{"dropping-particle":"","family":"Cliver","given":"Suzanne P.","non-dropping-particle":"","parse-names":false,"suffix":""},{"dropping-particle":"","family":"Zhi","given":"Degui","non-dropping-particle":"","parse-names":false,"suffix":""},{"dropping-particle":"","family":"Szychowski","given":"Jeff M.","non-dropping-particle":"","parse-names":false,"suffix":""},{"dropping-particle":"","family":"Abramovici","given":"Adi","non-dropping-particle":"","parse-names":false,"suffix":""},{"dropping-particle":"","family":"Biggio","given":"Joseph R.","non-dropping-particle":"","parse-names":false,"suffix":""},{"dropping-particle":"","family":"Lefkowitz","given":"Elliot J.","non-dropping-particle":"","parse-names":false,"suffix":""},{"dropping-particle":"","family":"Morrow","given":"Casey","non-dropping-particle":"","parse-names":false,"suffix":""},{"dropping-particle":"","family":"Edwards","given":"Rodney K.","non-dropping-particle":"","parse-names":false,"suffix":""}],"container-title":"American Journal of Perinatology","id":"ITEM-1","issue":"4","issued":{"date-parts":[["2016"]]},"title":"Vaginal Microbiota in Pregnancy: Evaluation Based on Vaginal Flora, Birth Outcome, and Race","type":"article-journal","volume":"33"},"uris":["http://www.mendeley.com/documents/?uuid=e5d41a8e-8161-303c-ac69-83a584cda06b"]}],"mendeley":{"formattedCitation":"&lt;sup&gt;24&lt;/sup&gt;","plainTextFormattedCitation":"24","previouslyFormattedCitation":"&lt;sup&gt;24&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24</w:t>
            </w:r>
            <w:r w:rsidRPr="001823ED">
              <w:rPr>
                <w:sz w:val="18"/>
                <w:szCs w:val="18"/>
              </w:rPr>
              <w:fldChar w:fldCharType="end"/>
            </w:r>
          </w:p>
        </w:tc>
        <w:tc>
          <w:tcPr>
            <w:tcW w:w="898" w:type="dxa"/>
            <w:shd w:val="clear" w:color="auto" w:fill="auto"/>
            <w:tcMar>
              <w:top w:w="57" w:type="dxa"/>
              <w:bottom w:w="57" w:type="dxa"/>
            </w:tcMar>
            <w:textDirection w:val="btLr"/>
            <w:vAlign w:val="center"/>
          </w:tcPr>
          <w:p w14:paraId="44E907F1" w14:textId="77777777" w:rsidR="00AD6A09" w:rsidRPr="001823ED" w:rsidRDefault="00AD6A09" w:rsidP="00981270">
            <w:pPr>
              <w:widowControl w:val="0"/>
              <w:ind w:left="113" w:hanging="98"/>
              <w:rPr>
                <w:sz w:val="18"/>
                <w:szCs w:val="18"/>
              </w:rPr>
            </w:pPr>
            <w:r w:rsidRPr="001823ED">
              <w:rPr>
                <w:sz w:val="18"/>
                <w:szCs w:val="18"/>
              </w:rPr>
              <w:t>Nelson</w:t>
            </w:r>
          </w:p>
          <w:p w14:paraId="08008FA9" w14:textId="607C2640" w:rsidR="00AD6A09" w:rsidRPr="001823ED" w:rsidRDefault="00AD6A09" w:rsidP="00981270">
            <w:pPr>
              <w:widowControl w:val="0"/>
              <w:rPr>
                <w:rFonts w:cs="Calibri"/>
                <w:sz w:val="18"/>
                <w:szCs w:val="18"/>
              </w:rPr>
            </w:pPr>
            <w:r w:rsidRPr="001823ED">
              <w:rPr>
                <w:sz w:val="18"/>
                <w:szCs w:val="18"/>
              </w:rPr>
              <w:t>2016</w:t>
            </w:r>
            <w:r w:rsidRPr="001823ED">
              <w:rPr>
                <w:sz w:val="18"/>
                <w:szCs w:val="18"/>
              </w:rPr>
              <w:fldChar w:fldCharType="begin" w:fldLock="1"/>
            </w:r>
            <w:r w:rsidR="00981270">
              <w:rPr>
                <w:sz w:val="18"/>
                <w:szCs w:val="18"/>
              </w:rPr>
              <w:instrText>ADDIN CSL_CITATION {"citationItems":[{"id":"ITEM-1","itemData":{"DOI":"10.1055/s-0036-1581057","ISSN":"1098-8785 (Electronic)","PMID":"27057772","abstract":"Introduction Early markers to identify pregnant women at high risk for spontaneous preterm birth (SPTB) have not been established and preventive options are limited. Recent attention has focused on examining the importance of characterizing the vaginal microbiome to predict SPTB. Results We examined the diversity and structure of the vaginal microbiome in nulliparous African American women during early pregnancy and compared 13 women who delivered preterm and 27 women who delivered at term. Samples were taken at one of two points in gestation, before 16 weeks or between 20 and 24 weeks. Among women who delivered preterm, we found lower bacterial diversity with lower abundance of Coriobacteriaceae, Sneathia, Prevotella, and Aerococcus compared with women delivering at term (linear discriminant analysis score &gt; 3.0). The Shannon diversity index was not significantly different between the groups (p-value = 0.239). Phylogenetic diversity and Chao1 suggested a lower diversity in the vaginal microbiota of women who delivered preterm compared with term, but these findings were not significantly different (p = 0.077 and p = 0.066, respectively). Conclusion These data suggest that the vaginal microbiome of women delivering preterm had lower diversity than women delivering after 37 weeks, although these findings need to be explored in a larger sample of nulliparous African American women.","author":[{"dropping-particle":"","family":"Nelson","given":"Deborah B","non-dropping-particle":"","parse-names":false,"suffix":""},{"dropping-particle":"","family":"Shin","given":"Hakdong","non-dropping-particle":"","parse-names":false,"suffix":""},{"dropping-particle":"","family":"Wu","given":"Jingwei","non-dropping-particle":"","parse-names":false,"suffix":""},{"dropping-particle":"","family":"Dominguez-Bello","given":"Maria G","non-dropping-particle":"","parse-names":false,"suffix":""}],"container-title":"American journal of perinatology","id":"ITEM-1","issue":"9","issued":{"date-parts":[["2016","7"]]},"language":"eng","page":"887-893","publisher-place":"United States","title":".The Gestational Vaginal Microbiome and Spontaneous Preterm Birth among Nulliparous African American Women","type":"article-journal","volume":"33"},"uris":["http://www.mendeley.com/documents/?uuid=a5c3885b-bc57-45d8-8a23-b1958553551e"]}],"mendeley":{"formattedCitation":"&lt;sup&gt;25&lt;/sup&gt;","plainTextFormattedCitation":"25","previouslyFormattedCitation":"&lt;sup&gt;25&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25</w:t>
            </w:r>
            <w:r w:rsidRPr="001823ED">
              <w:rPr>
                <w:sz w:val="18"/>
                <w:szCs w:val="18"/>
              </w:rPr>
              <w:fldChar w:fldCharType="end"/>
            </w:r>
          </w:p>
        </w:tc>
        <w:tc>
          <w:tcPr>
            <w:tcW w:w="897" w:type="dxa"/>
            <w:shd w:val="clear" w:color="auto" w:fill="auto"/>
            <w:tcMar>
              <w:top w:w="57" w:type="dxa"/>
              <w:bottom w:w="57" w:type="dxa"/>
            </w:tcMar>
            <w:textDirection w:val="btLr"/>
            <w:vAlign w:val="center"/>
          </w:tcPr>
          <w:p w14:paraId="3FDEA1FF" w14:textId="77777777" w:rsidR="00AD6A09" w:rsidRPr="001823ED" w:rsidRDefault="00AD6A09" w:rsidP="00981270">
            <w:pPr>
              <w:widowControl w:val="0"/>
              <w:ind w:left="113" w:hanging="113"/>
              <w:rPr>
                <w:sz w:val="18"/>
                <w:szCs w:val="18"/>
              </w:rPr>
            </w:pPr>
            <w:proofErr w:type="spellStart"/>
            <w:r w:rsidRPr="001823ED">
              <w:rPr>
                <w:sz w:val="18"/>
                <w:szCs w:val="18"/>
              </w:rPr>
              <w:t>Kindinger</w:t>
            </w:r>
            <w:proofErr w:type="spellEnd"/>
          </w:p>
          <w:p w14:paraId="1893F05B" w14:textId="23873336" w:rsidR="00AD6A09" w:rsidRPr="001823ED" w:rsidRDefault="00AD6A09" w:rsidP="00981270">
            <w:pPr>
              <w:widowControl w:val="0"/>
              <w:rPr>
                <w:rFonts w:cs="Calibri"/>
                <w:sz w:val="18"/>
                <w:szCs w:val="18"/>
              </w:rPr>
            </w:pPr>
            <w:r w:rsidRPr="001823ED">
              <w:rPr>
                <w:sz w:val="18"/>
                <w:szCs w:val="18"/>
              </w:rPr>
              <w:t>2017</w:t>
            </w:r>
            <w:r w:rsidRPr="001823ED">
              <w:rPr>
                <w:sz w:val="18"/>
                <w:szCs w:val="18"/>
              </w:rPr>
              <w:fldChar w:fldCharType="begin" w:fldLock="1"/>
            </w:r>
            <w:r w:rsidR="0057070F">
              <w:rPr>
                <w:sz w:val="18"/>
                <w:szCs w:val="18"/>
              </w:rPr>
              <w:instrText>ADDIN CSL_CITATION {"citationItems":[{"id":"ITEM-1","itemData":{"DOI":"10.1186/s40168-016-0223-9","ISSN":"20492618","abstract":"Preterm birth is the primary cause of infant death worldwide. A short cervix in the second trimester of pregnancy is a risk factor for preterm birth. In specific patient cohorts, vaginal progesterone reduces this risk. Using 16S rRNA gene sequencing, we undertook a prospective study in women at risk of preterm birth (n = 161) to assess (1) the relationship between vaginal microbiota and cervical length in the second trimester and preterm birth risk and (2) the impact of vaginal progesterone on vaginal bacterial communities in women with a short cervix.","author":[{"dropping-particle":"","family":"Kindinger","given":"Lindsay M.","non-dropping-particle":"","parse-names":false,"suffix":""},{"dropping-particle":"","family":"Bennett","given":"Phillip R.","non-dropping-particle":"","parse-names":false,"suffix":""},{"dropping-particle":"","family":"Lee","given":"Yun S.","non-dropping-particle":"","parse-names":false,"suffix":""},{"dropping-particle":"","family":"Marchesi","given":"Julian R.","non-dropping-particle":"","parse-names":false,"suffix":""},{"dropping-particle":"","family":"Smith","given":"Ann","non-dropping-particle":"","parse-names":false,"suffix":""},{"dropping-particle":"","family":"Cacciatore","given":"Stefano","non-dropping-particle":"","parse-names":false,"suffix":""},{"dropping-particle":"","family":"Holmes","given":"Elaine","non-dropping-particle":"","parse-names":false,"suffix":""},{"dropping-particle":"","family":"Nicholson","given":"Jeremy K.","non-dropping-particle":"","parse-names":false,"suffix":""},{"dropping-particle":"","family":"Teoh","given":"T. G.","non-dropping-particle":"","parse-names":false,"suffix":""},{"dropping-particle":"","family":"MacIntyre","given":"David A.","non-dropping-particle":"","parse-names":false,"suffix":""}],"container-title":"Microbiome","id":"ITEM-1","issue":"1","issued":{"date-parts":[["2017"]]},"page":"1-14","publisher":"Microbiome","title":"The interaction between vaginal microbiota, cervical length, and vaginal progesterone treatment for preterm birth risk","type":"article-journal","volume":"5"},"uris":["http://www.mendeley.com/documents/?uuid=027b47f9-6554-4f20-928a-771e55ef4d24"]}],"mendeley":{"formattedCitation":"&lt;sup&gt;26&lt;/sup&gt;","plainTextFormattedCitation":"26","previouslyFormattedCitation":"&lt;sup&gt;26&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26</w:t>
            </w:r>
            <w:r w:rsidRPr="001823ED">
              <w:rPr>
                <w:sz w:val="18"/>
                <w:szCs w:val="18"/>
              </w:rPr>
              <w:fldChar w:fldCharType="end"/>
            </w:r>
          </w:p>
        </w:tc>
        <w:tc>
          <w:tcPr>
            <w:tcW w:w="898" w:type="dxa"/>
            <w:shd w:val="clear" w:color="auto" w:fill="auto"/>
            <w:tcMar>
              <w:top w:w="57" w:type="dxa"/>
              <w:bottom w:w="57" w:type="dxa"/>
            </w:tcMar>
            <w:textDirection w:val="btLr"/>
            <w:vAlign w:val="center"/>
          </w:tcPr>
          <w:p w14:paraId="4E08C1A8" w14:textId="77777777" w:rsidR="00AD6A09" w:rsidRPr="001823ED" w:rsidRDefault="00AD6A09" w:rsidP="00981270">
            <w:pPr>
              <w:widowControl w:val="0"/>
              <w:ind w:left="113" w:hanging="113"/>
              <w:rPr>
                <w:sz w:val="18"/>
                <w:szCs w:val="18"/>
              </w:rPr>
            </w:pPr>
            <w:r w:rsidRPr="001823ED">
              <w:rPr>
                <w:sz w:val="18"/>
                <w:szCs w:val="18"/>
              </w:rPr>
              <w:t>Callahan</w:t>
            </w:r>
          </w:p>
          <w:p w14:paraId="7E78A21B" w14:textId="21FABE50" w:rsidR="00AD6A09" w:rsidRPr="001823ED" w:rsidRDefault="00AD6A09" w:rsidP="00981270">
            <w:pPr>
              <w:widowControl w:val="0"/>
              <w:rPr>
                <w:rFonts w:cs="Calibri"/>
                <w:sz w:val="18"/>
                <w:szCs w:val="18"/>
              </w:rPr>
            </w:pPr>
            <w:r w:rsidRPr="001823ED">
              <w:rPr>
                <w:sz w:val="18"/>
                <w:szCs w:val="18"/>
              </w:rPr>
              <w:t>2017</w:t>
            </w:r>
            <w:r w:rsidRPr="001823ED">
              <w:rPr>
                <w:sz w:val="18"/>
                <w:szCs w:val="18"/>
              </w:rPr>
              <w:fldChar w:fldCharType="begin" w:fldLock="1"/>
            </w:r>
            <w:r w:rsidR="0057070F">
              <w:rPr>
                <w:sz w:val="18"/>
                <w:szCs w:val="18"/>
              </w:rPr>
              <w:instrText>ADDIN CSL_CITATION {"citationItems":[{"id":"ITEM-1","itemData":{"DOI":"10.1073/pnas.1705899114","ISSN":"1091-6490","PMID":"28847941","abstract":"Preterm birth (PTB) is the leading cause of neonatal morbidity and mortality. Previous studies have suggested that the maternal vaginal microbiota contributes to the pathophysiology of PTB, but conflicting results in recent years have raised doubts. We conducted a study of PTB compared with term birth in two cohorts of pregnant women: one predominantly Caucasian (n = 39) at low risk for PTB, the second predominantly African American and at high-risk (n = 96). We profiled the taxonomic composition of 2,179 vaginal swabs collected prospectively and weekly during gestation using 16S rRNA gene sequencing. Previously proposed associations between PTB and lower Lactobacillus and higher Gardnerella abundances replicated in the low-risk cohort, but not in the high-risk cohort. High-resolution bioinformatics enabled taxonomic assignment to the species and subspecies levels, revealing that Lactobacillus crispatus was associated with low risk of PTB in both cohorts, while Lactobacillus iners was not, and that a subspecies clade of Gardnerella vaginalis explained the genus association with PTB. Patterns of cooccurrence between L. crispatus and Gardnerella were highly exclusive, while Gardnerella and L. iners often coexisted at high frequencies. We argue that the vaginal microbiota is better represented by the quantitative frequencies of these key taxa than by classifying communities into five community state types. Our findings extend and corroborate the association between the vaginal microbiota and PTB, demonstrate the benefits of high-resolution statistical bioinformatics in clinical microbiome studies, and suggest that previous conflicting results may reflect the different risk profile of women of black race.","author":[{"dropping-particle":"","family":"Callahan","given":"Benjamin J","non-dropping-particle":"","parse-names":false,"suffix":""},{"dropping-particle":"","family":"DiGiulio","given":"Daniel B","non-dropping-particle":"","parse-names":false,"suffix":""},{"dropping-particle":"","family":"Goltsman","given":"Daniela S Aliaga","non-dropping-particle":"","parse-names":false,"suffix":""},{"dropping-particle":"","family":"Sun","given":"Christine L","non-dropping-particle":"","parse-names":false,"suffix":""},{"dropping-particle":"","family":"Costello","given":"Elizabeth K","non-dropping-particle":"","parse-names":false,"suffix":""},{"dropping-particle":"","family":"Jeganathan","given":"Pratheepa","non-dropping-particle":"","parse-names":false,"suffix":""},{"dropping-particle":"","family":"Biggio","given":"Joseph R","non-dropping-particle":"","parse-names":false,"suffix":""},{"dropping-particle":"","family":"Wong","given":"Ronald J","non-dropping-particle":"","parse-names":false,"suffix":""},{"dropping-particle":"","family":"Druzin","given":"Maurice L","non-dropping-particle":"","parse-names":false,"suffix":""},{"dropping-particle":"","family":"Shaw","given":"Gary M","non-dropping-particle":"","parse-names":false,"suffix":""},{"dropping-particle":"","family":"Stevenson","given":"David K","non-dropping-particle":"","parse-names":false,"suffix":""},{"dropping-particle":"","family":"Holmes","given":"Susan P","non-dropping-particle":"","parse-names":false,"suffix":""},{"dropping-particle":"","family":"Relman","given":"David A","non-dropping-particle":"","parse-names":false,"suffix":""}],"container-title":"Proceedings of the National Academy of Sciences of the United States of America","id":"ITEM-1","issue":"37","issued":{"date-parts":[["2017"]]},"page":"9966-9971","title":"Replication and refinement of a vaginal microbial signature of preterm birth in two racially distinct cohorts of US women.","type":"article-journal","volume":"114"},"uris":["http://www.mendeley.com/documents/?uuid=f8204702-f114-48a7-b9eb-4f6c3cab2b0a"]}],"mendeley":{"formattedCitation":"&lt;sup&gt;27&lt;/sup&gt;","plainTextFormattedCitation":"27","previouslyFormattedCitation":"&lt;sup&gt;27&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27</w:t>
            </w:r>
            <w:r w:rsidRPr="001823ED">
              <w:rPr>
                <w:sz w:val="18"/>
                <w:szCs w:val="18"/>
              </w:rPr>
              <w:fldChar w:fldCharType="end"/>
            </w:r>
          </w:p>
        </w:tc>
        <w:tc>
          <w:tcPr>
            <w:tcW w:w="898" w:type="dxa"/>
            <w:shd w:val="clear" w:color="auto" w:fill="auto"/>
            <w:tcMar>
              <w:top w:w="57" w:type="dxa"/>
              <w:bottom w:w="57" w:type="dxa"/>
            </w:tcMar>
            <w:textDirection w:val="btLr"/>
            <w:vAlign w:val="center"/>
          </w:tcPr>
          <w:p w14:paraId="4A1412ED" w14:textId="77777777" w:rsidR="00AD6A09" w:rsidRPr="001823ED" w:rsidRDefault="00AD6A09" w:rsidP="00981270">
            <w:pPr>
              <w:widowControl w:val="0"/>
              <w:ind w:left="113" w:hanging="113"/>
              <w:rPr>
                <w:sz w:val="18"/>
                <w:szCs w:val="18"/>
              </w:rPr>
            </w:pPr>
            <w:r w:rsidRPr="001823ED">
              <w:rPr>
                <w:sz w:val="18"/>
                <w:szCs w:val="18"/>
              </w:rPr>
              <w:t>Stout</w:t>
            </w:r>
          </w:p>
          <w:p w14:paraId="74EFD7D9" w14:textId="74EF8C8A" w:rsidR="00AD6A09" w:rsidRPr="001823ED" w:rsidRDefault="00AD6A09" w:rsidP="00981270">
            <w:pPr>
              <w:widowControl w:val="0"/>
              <w:rPr>
                <w:sz w:val="18"/>
                <w:szCs w:val="18"/>
              </w:rPr>
            </w:pPr>
            <w:r w:rsidRPr="001823ED">
              <w:rPr>
                <w:sz w:val="18"/>
                <w:szCs w:val="18"/>
              </w:rPr>
              <w:t>2017</w:t>
            </w:r>
            <w:r w:rsidRPr="001823ED">
              <w:rPr>
                <w:sz w:val="18"/>
                <w:szCs w:val="18"/>
              </w:rPr>
              <w:fldChar w:fldCharType="begin" w:fldLock="1"/>
            </w:r>
            <w:r w:rsidR="0057070F">
              <w:rPr>
                <w:sz w:val="18"/>
                <w:szCs w:val="18"/>
              </w:rPr>
              <w:instrText>ADDIN CSL_CITATION {"citationItems":[{"id":"ITEM-1","itemData":{"DOI":"10.1016/j.ajog.2017.05.030","ISSN":"10976868","abstract":"Background Despite decades of attempts to link infectious agents to preterm birth, an exact causative microbe or community of microbes remains elusive. Nonculture 16S ribosomal RNA gene sequencing suggests important racial differences and pregnancy specific changes in the vaginal microbial communities. A recent study examining the association of the vaginal microbiome and preterm birth documented important findings but was performed in a predominantly white cohort. Given the important racial differences in bacterial communities within the vagina as well as persistent racial disparities in preterm birth, it is important to examine cohorts with varied demographic compositions. Objective To characterize vaginal microbial community characteristics in a large, predominantly African-American, longitudinal cohort of pregnant women and test whether particular vaginal microbial community characteristics are associated with the risk for subsequent preterm birth. Study Design This is a nested case-control study within a prospective cohort study of women with singleton pregnancies, not on supplemental progesterone, and without cervical cerclage in situ. Serial mid-vaginal swabs were obtained by speculum exam at their routine prenatal visits. Sequencing of the V1V3 region of the 16S rRNA gene was performed on the Roche 454 platform. Alpha diversity community characteristics including richness, Shannon diversity, and evenness as well as beta diversity metrics including Bray Curtis Dissimilarity and specific taxon abundance were compared longitudinally in women who delivered preterm to those who delivered at term. Results A total of 77 subjects contributed 149 vaginal swabs longitudinally across pregnancy. Participants were predominantly African-American (69%) and had a preterm birth rate of 31%. In subjects with subsequent term delivery, the vaginal microbiome demonstrated stable community richness and Shannon diversity, whereas subjects with subsequent preterm delivery had significantly decreased vaginal richness, diversity, and evenness during pregnancy (P &lt;.01). This change occurred between the first and second trimesters. Within-subject comparisons across pregnancy showed that preterm birth is associated with increased vaginal microbiome instability compared to term birth. No distinct taxa were associated with preterm birth. Conclusion In a predominantly African-American population, a significant decrease of vaginal microbial community richness and diversity is a…","author":[{"dropping-particle":"","family":"Stout","given":"Molly J.","non-dropping-particle":"","parse-names":false,"suffix":""},{"dropping-particle":"","family":"Zhou","given":"Yanjiao","non-dropping-particle":"","parse-names":false,"suffix":""},{"dropping-particle":"","family":"Wylie","given":"Kristine M.","non-dropping-particle":"","parse-names":false,"suffix":""},{"dropping-particle":"","family":"Tarr","given":"Phillip I.","non-dropping-particle":"","parse-names":false,"suffix":""},{"dropping-particle":"","family":"Macones","given":"George A.","non-dropping-particle":"","parse-names":false,"suffix":""},{"dropping-particle":"","family":"Tuuli","given":"Methodius G.","non-dropping-particle":"","parse-names":false,"suffix":""}],"container-title":"American Journal of Obstetrics and Gynecology","id":"ITEM-1","issue":"3","issued":{"date-parts":[["2017"]]},"title":"Early pregnancy vaginal microbiome trends and preterm birth","type":"article-journal","volume":"217"},"uris":["http://www.mendeley.com/documents/?uuid=b8f48c35-642a-3374-9646-d0512f79db63"]}],"mendeley":{"formattedCitation":"&lt;sup&gt;28&lt;/sup&gt;","plainTextFormattedCitation":"28","previouslyFormattedCitation":"&lt;sup&gt;28&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28</w:t>
            </w:r>
            <w:r w:rsidRPr="001823ED">
              <w:rPr>
                <w:sz w:val="18"/>
                <w:szCs w:val="18"/>
              </w:rPr>
              <w:fldChar w:fldCharType="end"/>
            </w:r>
          </w:p>
        </w:tc>
        <w:tc>
          <w:tcPr>
            <w:tcW w:w="898" w:type="dxa"/>
            <w:shd w:val="clear" w:color="auto" w:fill="auto"/>
            <w:tcMar>
              <w:top w:w="57" w:type="dxa"/>
              <w:bottom w:w="0" w:type="dxa"/>
            </w:tcMar>
            <w:textDirection w:val="btLr"/>
            <w:vAlign w:val="center"/>
          </w:tcPr>
          <w:p w14:paraId="7B52C807" w14:textId="77777777" w:rsidR="00AD6A09" w:rsidRPr="001823ED" w:rsidRDefault="00AD6A09" w:rsidP="00981270">
            <w:pPr>
              <w:widowControl w:val="0"/>
              <w:ind w:left="113" w:hanging="113"/>
              <w:rPr>
                <w:sz w:val="18"/>
                <w:szCs w:val="18"/>
              </w:rPr>
            </w:pPr>
            <w:r w:rsidRPr="001823ED">
              <w:rPr>
                <w:sz w:val="18"/>
                <w:szCs w:val="18"/>
              </w:rPr>
              <w:t>Freitas</w:t>
            </w:r>
          </w:p>
          <w:p w14:paraId="30388B5B" w14:textId="5779E738" w:rsidR="00AD6A09" w:rsidRPr="001823ED" w:rsidRDefault="00AD6A09" w:rsidP="00981270">
            <w:pPr>
              <w:widowControl w:val="0"/>
              <w:rPr>
                <w:sz w:val="18"/>
                <w:szCs w:val="18"/>
              </w:rPr>
            </w:pPr>
            <w:r w:rsidRPr="001823ED">
              <w:rPr>
                <w:sz w:val="18"/>
                <w:szCs w:val="18"/>
              </w:rPr>
              <w:t>2018</w:t>
            </w:r>
            <w:r w:rsidRPr="001823ED">
              <w:rPr>
                <w:sz w:val="18"/>
                <w:szCs w:val="18"/>
              </w:rPr>
              <w:fldChar w:fldCharType="begin" w:fldLock="1"/>
            </w:r>
            <w:r w:rsidR="00E07E09">
              <w:rPr>
                <w:sz w:val="18"/>
                <w:szCs w:val="18"/>
              </w:rPr>
              <w:instrText>ADDIN CSL_CITATION {"citationItems":[{"id":"ITEM-1","itemData":{"DOI":"10.1186/s40168-018-0502-8","ISSN":"20492618","abstract":"The bacterial community present in the female lower genital tract plays an important role in maternal and neonatal health. Imbalances in this microbiota have been associated with negative reproductive outcomes, such as spontaneous preterm birth (sPTB), but the mechanisms underlying the association between a disturbed microbiota and sPTB remain poorly understood. An intrauterine infection ascending from the vagina is thought to be an important contributor to the onset of preterm labour. Our objective was to characterize the vaginal microbiota of pregnant women who had sPTB (n = 46) and compare to those of pregnant women who delivered at term (n = 170). Vaginal swabs were collected from women at 11–16 weeks of gestational age. Microbiota profiles were created by PCR amplification and pyrosequencing of the cpn60 universal target region. Profiles clustered into seven community state types: I (Lactobacillus crispatus dominated), II (Lactobacillus gasseri dominated), III (Lactobacillus iners dominated), IVA (Gardnerella vaginalis subgroup B or mix of species), IVC (G. vaginalis subgroup A dominated), IVD (G. vaginalis subgroup C dominated) and V (Lactobacillus jensenii dominated). The microbiota of women who experienced preterm birth (&lt; 37 weeks gestation) had higher richness and diversity and higher Mollicutes prevalence when compared to those of women who delivered at term. The two groups did not cluster according to CST, likely because CST assignment is driven in most cases by the dominance of one particular species, overwhelming the contributions of more rare taxa. In conclusion, we did not identify a specific microbial community structure that predicts sPTB, but differences in microbiota richness, diversity and Mollicutes prevalence were observed between groups. Although a causal relationship remains to be determined, our results confirm previous reports of an association between Mollicutes and sPTB and further suggest that a more diverse microbiome may be important in the pathogenesis of some cases.","author":[{"dropping-particle":"","family":"Freitas","given":"Aline C.","non-dropping-particle":"","parse-names":false,"suffix":""},{"dropping-particle":"","family":"Bocking","given":"Alan","non-dropping-particle":"","parse-names":false,"suffix":""},{"dropping-particle":"","family":"Hill","given":"Janet E.","non-dropping-particle":"","parse-names":false,"suffix":""},{"dropping-particle":"","family":"Money","given":"Deborah M.","non-dropping-particle":"","parse-names":false,"suffix":""}],"container-title":"Microbiome","id":"ITEM-1","issue":"1","issued":{"date-parts":[["2018"]]},"page":"1-15","publisher":"Microbiome","title":"Increased richness and diversity of the vaginal microbiota and spontaneous preterm birth","type":"article-journal","volume":"6"},"uris":["http://www.mendeley.com/documents/?uuid=9bb1baa5-56fe-4050-93de-1bbe9e407aa1"]}],"mendeley":{"formattedCitation":"&lt;sup&gt;18&lt;/sup&gt;","plainTextFormattedCitation":"18","previouslyFormattedCitation":"&lt;sup&gt;18&lt;/sup&gt;"},"properties":{"noteIndex":0},"schema":"https://github.com/citation-style-language/schema/raw/master/csl-citation.json"}</w:instrText>
            </w:r>
            <w:r w:rsidRPr="001823ED">
              <w:rPr>
                <w:sz w:val="18"/>
                <w:szCs w:val="18"/>
              </w:rPr>
              <w:fldChar w:fldCharType="separate"/>
            </w:r>
            <w:r w:rsidR="008225FC" w:rsidRPr="008225FC">
              <w:rPr>
                <w:noProof/>
                <w:sz w:val="18"/>
                <w:szCs w:val="18"/>
                <w:vertAlign w:val="superscript"/>
              </w:rPr>
              <w:t>18</w:t>
            </w:r>
            <w:r w:rsidRPr="001823ED">
              <w:rPr>
                <w:sz w:val="18"/>
                <w:szCs w:val="18"/>
              </w:rPr>
              <w:fldChar w:fldCharType="end"/>
            </w:r>
          </w:p>
        </w:tc>
        <w:tc>
          <w:tcPr>
            <w:tcW w:w="897" w:type="dxa"/>
            <w:shd w:val="clear" w:color="auto" w:fill="auto"/>
            <w:tcMar>
              <w:top w:w="57" w:type="dxa"/>
              <w:bottom w:w="57" w:type="dxa"/>
            </w:tcMar>
            <w:textDirection w:val="btLr"/>
            <w:vAlign w:val="center"/>
          </w:tcPr>
          <w:p w14:paraId="0446EEB7" w14:textId="3AA376B4" w:rsidR="00AD6A09" w:rsidRPr="001823ED" w:rsidRDefault="00AD6A09" w:rsidP="00981270">
            <w:pPr>
              <w:widowControl w:val="0"/>
              <w:rPr>
                <w:rFonts w:cs="Calibri"/>
                <w:sz w:val="18"/>
                <w:szCs w:val="18"/>
              </w:rPr>
            </w:pPr>
            <w:proofErr w:type="spellStart"/>
            <w:r w:rsidRPr="001823ED">
              <w:rPr>
                <w:sz w:val="18"/>
                <w:szCs w:val="18"/>
              </w:rPr>
              <w:t>Tabatanaei</w:t>
            </w:r>
            <w:proofErr w:type="spellEnd"/>
            <w:r w:rsidRPr="001823ED">
              <w:rPr>
                <w:sz w:val="18"/>
                <w:szCs w:val="18"/>
              </w:rPr>
              <w:t xml:space="preserve"> 2019</w:t>
            </w:r>
            <w:r w:rsidRPr="001823ED">
              <w:rPr>
                <w:sz w:val="18"/>
                <w:szCs w:val="18"/>
              </w:rPr>
              <w:fldChar w:fldCharType="begin" w:fldLock="1"/>
            </w:r>
            <w:r w:rsidR="0057070F">
              <w:rPr>
                <w:sz w:val="18"/>
                <w:szCs w:val="18"/>
              </w:rPr>
              <w:instrText>ADDIN CSL_CITATION {"citationItems":[{"id":"ITEM-1","itemData":{"DOI":"10.1111/1471-0528.15299","ISBN":"0020852312","ISSN":"14700328","PMID":"29791775","abstract":"OBJECTIVES: To explore differences in the vaginal microbiome between preterm and  term deliveries. DESIGN: Nested case-control study in 3D cohort (design, develop, discover). SETTING: Quebec, Canada. SAMPLE: Ninety-four women with spontaneous preterm birth as cases [17 early (&lt;34 weeks) and 77 late (34-36 weeks) preterm birth] and 356 women as controls with term delivery (&gt;/=37 weeks). METHODS: To assess the vaginal microbiome by sequencing the V4 region of the 16S ribosomal RNA (rRNA) gene in swabs self-collected during early pregnancy. MAIN OUTCOME MEASURES: Comparison of relative abundance of bacterial operational taxonomic units and oligotypes and identifying vaginal community state types (CSTs) in early or late spontaneous preterm and term deliveries. RESULTS: Lactobacillus gasseri/ Lactobacillus johnsonii (coefficient -5.36, 95% CI -8.07 to -2.65), Lactobacillus crispatus (99%)/ Lactobacillus acidophilus (99%) (-4.58, 95% CI -6.20 to -2.96), Lactobacillus iners (99%)/ Ralstonia solanacearum (99%) (-3.98, 95% CI -6.48 to -1.47) and Bifidobacterium longum/ Bifidobacterium breve (-8.84, 95% CI -12.96 to -4.73) were associated with decreased risk of early but not late preterm birth. Six vaginal CSTs were identified: four dominated by Lactobacillus; one with presence of bacterial vaginosis-associated bacteria (Gardnerella vaginalis, Atopobium vaginae and Veillonellaceae bacterium) (CST IV); and one with nondominance of Lactobacillus (CST VI). CST IV was associated with increased risk of early (4.22, 95% CI 1.24-24.85) but not late (1.63, 95% CI 0.68-5.04) preterm birth, compared with CST VI. CONCLUSIONS: Lactobacillus gasseri/L. johnsonii, L. crispatus/L. acidophilus, L. iners/R. solanacearum and B. longum/B. breve may be associated with decreased risk of early preterm birth. A bacterial vaginosis-related vaginal CST versus a CST nondominated by Lactobacillus may be associated with increased risk of early preterm birth. TWEETABLE ABSTRACT: Largest study of its kind finds certain species of vaginal Lactobacillus + Bifidobacterium may relate to lower risk of preterm birth.","author":[{"dropping-particle":"","family":"Tabatabaei","given":"N","non-dropping-particle":"","parse-names":false,"suffix":""},{"dropping-particle":"","family":"Eren","given":"AM","non-dropping-particle":"","parse-names":false,"suffix":""},{"dropping-particle":"","family":"Barreiro","given":"LB","non-dropping-particle":"","parse-names":false,"suffix":""},{"dropping-particle":"","family":"Yotova","given":"V","non-dropping-particle":"","parse-names":false,"suffix":""},{"dropping-particle":"","family":"Dumaine","given":"A","non-dropping-particle":"","parse-names":false,"suffix":""},{"dropping-particle":"","family":"Allard","given":"C","non-dropping-particle":"","parse-names":false,"suffix":""},{"dropping-particle":"","family":"Fraser","given":"WD","non-dropping-particle":"","parse-names":false,"suffix":""}],"container-title":"BJOG: An International Journal of Obstetrics &amp; Gynaecology","id":"ITEM-1","issued":{"date-parts":[["2018"]]},"page":"8-11","title":"Vaginal microbiome in early pregnancy and subsequent risk of spontaneous preterm birth: a case-control study","type":"article-journal"},"uris":["http://www.mendeley.com/documents/?uuid=aea8b08d-e768-4394-af42-817129283efb"]}],"mendeley":{"formattedCitation":"&lt;sup&gt;29&lt;/sup&gt;","plainTextFormattedCitation":"29","previouslyFormattedCitation":"&lt;sup&gt;29&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29</w:t>
            </w:r>
            <w:r w:rsidRPr="001823ED">
              <w:rPr>
                <w:sz w:val="18"/>
                <w:szCs w:val="18"/>
              </w:rPr>
              <w:fldChar w:fldCharType="end"/>
            </w:r>
          </w:p>
        </w:tc>
        <w:tc>
          <w:tcPr>
            <w:tcW w:w="898" w:type="dxa"/>
            <w:shd w:val="clear" w:color="auto" w:fill="auto"/>
            <w:tcMar>
              <w:top w:w="57" w:type="dxa"/>
              <w:bottom w:w="57" w:type="dxa"/>
            </w:tcMar>
            <w:textDirection w:val="btLr"/>
            <w:vAlign w:val="center"/>
          </w:tcPr>
          <w:p w14:paraId="4037ED1D" w14:textId="77777777" w:rsidR="00AD6A09" w:rsidRPr="001823ED" w:rsidRDefault="00AD6A09" w:rsidP="00981270">
            <w:pPr>
              <w:widowControl w:val="0"/>
              <w:ind w:left="113" w:right="45" w:hanging="113"/>
              <w:rPr>
                <w:sz w:val="18"/>
                <w:szCs w:val="18"/>
              </w:rPr>
            </w:pPr>
            <w:r w:rsidRPr="001823ED">
              <w:rPr>
                <w:sz w:val="18"/>
                <w:szCs w:val="18"/>
              </w:rPr>
              <w:t>Brown</w:t>
            </w:r>
          </w:p>
          <w:p w14:paraId="30408EFD" w14:textId="5FC06E9A" w:rsidR="00AD6A09" w:rsidRPr="001823ED" w:rsidRDefault="00AD6A09" w:rsidP="00981270">
            <w:pPr>
              <w:widowControl w:val="0"/>
              <w:rPr>
                <w:sz w:val="18"/>
                <w:szCs w:val="18"/>
              </w:rPr>
            </w:pPr>
            <w:r w:rsidRPr="001823ED">
              <w:rPr>
                <w:sz w:val="18"/>
                <w:szCs w:val="18"/>
              </w:rPr>
              <w:t>2019</w:t>
            </w:r>
            <w:r w:rsidRPr="001823ED">
              <w:rPr>
                <w:sz w:val="18"/>
                <w:szCs w:val="18"/>
              </w:rPr>
              <w:fldChar w:fldCharType="begin" w:fldLock="1"/>
            </w:r>
            <w:r w:rsidR="0057070F">
              <w:rPr>
                <w:sz w:val="18"/>
                <w:szCs w:val="18"/>
              </w:rPr>
              <w:instrText>ADDIN CSL_CITATION {"citationItems":[{"id":"ITEM-1","itemData":{"DOI":"10.1016/j.trsl.2018.12.005","ISSN":"18781810","abstract":"Vaginal bacterial community composition influences pregnancy outcome. Preterm prelabor rupture of the fetal membranes (PPROM), which precedes 30% of all spontaneous preterm births, is associated with high vaginal bacterial diversity prior to rupture. The point at which vaginal bacterial diversity is established before PPROM is unknown. In this study, we use metataxonomics to longitudinally characterize the vaginal bacterial composition from as early as 6 weeks of gestation in women at high (n = 38) and low (n = 22) risk of preterm birth who subsequently experience PPROM and in women delivering at term without complications (n = 36). Reduced Lactobacillus spp. abundance and high diversity was observed prior to PPROM in 20% and 26% of women at low and high risk of preterm births respectively, but in only 3% of women who delivered at term. PPROM was associated with instability of bacterial community structure during pregnancy and a shift toward higher diversity predominately occurring during the second trimester. This was characterized by increased relative abundance of potentially pathogenic species including Prevotella, Peptoniphilus, Streptococcus, and Dialister. This study identifies reduced Lactobacillus spp. abundance and increasing vaginal bacterial diversity as an early risk factor for PPROM and highlights the need for interventional studies designed to assess the impact of modifying vaginal bacterial composition for the prevention of preterm birth.","author":[{"dropping-particle":"","family":"Brown","given":"Richard G.","non-dropping-particle":"","parse-names":false,"suffix":""},{"dropping-particle":"","family":"Al-Memar","given":"Maya","non-dropping-particle":"","parse-names":false,"suffix":""},{"dropping-particle":"","family":"Marchesi","given":"Julian R.","non-dropping-particle":"","parse-names":false,"suffix":""},{"dropping-particle":"","family":"Lee","given":"Yun S.","non-dropping-particle":"","parse-names":false,"suffix":""},{"dropping-particle":"","family":"Smith","given":"Ann","non-dropping-particle":"","parse-names":false,"suffix":""},{"dropping-particle":"","family":"Chan","given":"Denise","non-dropping-particle":"","parse-names":false,"suffix":""},{"dropping-particle":"","family":"Lewis","given":"Holly","non-dropping-particle":"","parse-names":false,"suffix":""},{"dropping-particle":"","family":"Kindinger","given":"Lindsay","non-dropping-particle":"","parse-names":false,"suffix":""},{"dropping-particle":"","family":"Terzidou","given":"Vasso","non-dropping-particle":"","parse-names":false,"suffix":""},{"dropping-particle":"","family":"Bourne","given":"Tom","non-dropping-particle":"","parse-names":false,"suffix":""},{"dropping-particle":"","family":"Bennett","given":"Phillip R.","non-dropping-particle":"","parse-names":false,"suffix":""},{"dropping-particle":"","family":"MacIntyre","given":"David A.","non-dropping-particle":"","parse-names":false,"suffix":""}],"container-title":"Translational Research","id":"ITEM-1","issued":{"date-parts":[["2019"]]},"page":"1-14","publisher":"Elsevier Inc.","title":"Establishment of vaginal microbiota composition in early pregnancy and its association with subsequent preterm prelabor rupture of the fetal membranes","type":"article-journal"},"uris":["http://www.mendeley.com/documents/?uuid=9e956727-9ab1-44ee-8820-b583442ec4d0"]}],"mendeley":{"formattedCitation":"&lt;sup&gt;30&lt;/sup&gt;","plainTextFormattedCitation":"30","previouslyFormattedCitation":"&lt;sup&gt;30&lt;/sup&gt;"},"properties":{"noteIndex":0},"schema":"https://github.com/citation-style-language/schema/raw/master/csl-citation.json"}</w:instrText>
            </w:r>
            <w:r w:rsidRPr="001823ED">
              <w:rPr>
                <w:sz w:val="18"/>
                <w:szCs w:val="18"/>
              </w:rPr>
              <w:fldChar w:fldCharType="separate"/>
            </w:r>
            <w:r w:rsidR="00F518EA" w:rsidRPr="00F518EA">
              <w:rPr>
                <w:noProof/>
                <w:sz w:val="18"/>
                <w:szCs w:val="18"/>
                <w:vertAlign w:val="superscript"/>
              </w:rPr>
              <w:t>30</w:t>
            </w:r>
            <w:r w:rsidRPr="001823ED">
              <w:rPr>
                <w:sz w:val="18"/>
                <w:szCs w:val="18"/>
              </w:rPr>
              <w:fldChar w:fldCharType="end"/>
            </w:r>
          </w:p>
        </w:tc>
        <w:tc>
          <w:tcPr>
            <w:tcW w:w="898" w:type="dxa"/>
            <w:shd w:val="clear" w:color="auto" w:fill="auto"/>
            <w:tcMar>
              <w:top w:w="57" w:type="dxa"/>
              <w:bottom w:w="57" w:type="dxa"/>
            </w:tcMar>
            <w:textDirection w:val="btLr"/>
            <w:vAlign w:val="center"/>
          </w:tcPr>
          <w:p w14:paraId="7998EA5F" w14:textId="77777777" w:rsidR="00AD6A09" w:rsidRPr="001823ED" w:rsidRDefault="00AD6A09" w:rsidP="00981270">
            <w:pPr>
              <w:widowControl w:val="0"/>
              <w:ind w:left="113" w:right="5" w:hanging="88"/>
              <w:rPr>
                <w:sz w:val="18"/>
                <w:szCs w:val="18"/>
              </w:rPr>
            </w:pPr>
            <w:proofErr w:type="spellStart"/>
            <w:r w:rsidRPr="001823ED">
              <w:rPr>
                <w:sz w:val="18"/>
                <w:szCs w:val="18"/>
              </w:rPr>
              <w:t>Elovitz</w:t>
            </w:r>
            <w:proofErr w:type="spellEnd"/>
          </w:p>
          <w:p w14:paraId="0276B369" w14:textId="2C0693EF" w:rsidR="00AD6A09" w:rsidRPr="001823ED" w:rsidRDefault="00AD6A09" w:rsidP="00981270">
            <w:pPr>
              <w:widowControl w:val="0"/>
              <w:rPr>
                <w:rFonts w:cs="Calibri"/>
                <w:sz w:val="18"/>
                <w:szCs w:val="18"/>
              </w:rPr>
            </w:pPr>
            <w:r w:rsidRPr="001823ED">
              <w:rPr>
                <w:sz w:val="18"/>
                <w:szCs w:val="18"/>
              </w:rPr>
              <w:t>2019</w:t>
            </w:r>
            <w:r w:rsidRPr="001823ED">
              <w:rPr>
                <w:sz w:val="18"/>
                <w:szCs w:val="18"/>
              </w:rPr>
              <w:fldChar w:fldCharType="begin" w:fldLock="1"/>
            </w:r>
            <w:r w:rsidR="00E07E09">
              <w:rPr>
                <w:sz w:val="18"/>
                <w:szCs w:val="18"/>
              </w:rPr>
              <w:instrText>ADDIN CSL_CITATION {"citationItems":[{"id":"ITEM-1","itemData":{"DOI":"10.1038/s41467-019-09285-9","ISSN":"20411723","abstract":"Failure to predict and understand the causes of preterm birth, the leading cause of neonatal morbidity and mortality, have limited effective interventions and therapeutics. From a cohort of 2000 pregnant women, we performed a nested case control study on 107 well-phenotyped cases of spontaneous preterm birth (sPTB) and 432 women delivering at term. Using innovative Bayesian modeling of cervicovaginal microbiota, seven bacterial taxa were significantly associated with increased risk of sPTB, with a stronger effect in African American women. However, higher vaginal levels of β-defensin-2 lowered the risk of sPTB associated with cervicovaginal microbiota in an ethnicity-dependent manner. Surprisingly, even in Lactobacillus spp. dominated cervicovaginal microbiota, low β-defensin-2 was associated with increased risk of sPTB. These findings hold promise for diagnostics to accurately identify women at risk for sPTB early in pregnancy. Therapeutic strategies could include immune modulators and microbiome-based therapeutics to reduce this significant health burden.","author":[{"dropping-particle":"","family":"Elovitz","given":"Michal A.","non-dropping-particle":"","parse-names":false,"suffix":""},{"dropping-particle":"","family":"Gajer","given":"Pawel","non-dropping-particle":"","parse-names":false,"suffix":""},{"dropping-particle":"","family":"Riis","given":"Valerie","non-dropping-particle":"","parse-names":false,"suffix":""},{"dropping-particle":"","family":"Brown","given":"Amy G.","non-dropping-particle":"","parse-names":false,"suffix":""},{"dropping-particle":"","family":"Humphrys","given":"Michael S.","non-dropping-particle":"","parse-names":false,"suffix":""},{"dropping-particle":"","family":"Holm","given":"Johanna B.","non-dropping-particle":"","parse-names":false,"suffix":""},{"dropping-particle":"","family":"Ravel","given":"Jacques","non-dropping-particle":"","parse-names":false,"suffix":""}],"container-title":"Nature Communications","id":"ITEM-1","issue":"1","issued":{"date-parts":[["2019"]]},"page":"1-8","publisher":"Springer US","title":"Cervicovaginal microbiota and local immune response modulate the risk of spontaneous preterm delivery","type":"article-journal","volume":"10"},"uris":["http://www.mendeley.com/documents/?uuid=f31f2853-83e1-4d49-b2bc-3ad8cc5db5db"]}],"mendeley":{"formattedCitation":"&lt;sup&gt;19&lt;/sup&gt;","plainTextFormattedCitation":"19","previouslyFormattedCitation":"&lt;sup&gt;19&lt;/sup&gt;"},"properties":{"noteIndex":0},"schema":"https://github.com/citation-style-language/schema/raw/master/csl-citation.json"}</w:instrText>
            </w:r>
            <w:r w:rsidRPr="001823ED">
              <w:rPr>
                <w:sz w:val="18"/>
                <w:szCs w:val="18"/>
              </w:rPr>
              <w:fldChar w:fldCharType="separate"/>
            </w:r>
            <w:r w:rsidR="00E07E09" w:rsidRPr="00E07E09">
              <w:rPr>
                <w:noProof/>
                <w:sz w:val="18"/>
                <w:szCs w:val="18"/>
                <w:vertAlign w:val="superscript"/>
              </w:rPr>
              <w:t>19</w:t>
            </w:r>
            <w:r w:rsidRPr="001823ED">
              <w:rPr>
                <w:sz w:val="18"/>
                <w:szCs w:val="18"/>
              </w:rPr>
              <w:fldChar w:fldCharType="end"/>
            </w:r>
          </w:p>
        </w:tc>
        <w:tc>
          <w:tcPr>
            <w:tcW w:w="898" w:type="dxa"/>
            <w:shd w:val="clear" w:color="auto" w:fill="auto"/>
            <w:tcMar>
              <w:top w:w="57" w:type="dxa"/>
              <w:bottom w:w="57" w:type="dxa"/>
            </w:tcMar>
            <w:textDirection w:val="btLr"/>
            <w:vAlign w:val="center"/>
          </w:tcPr>
          <w:p w14:paraId="44BE5435" w14:textId="77777777" w:rsidR="00AD6A09" w:rsidRPr="001823ED" w:rsidRDefault="00AD6A09" w:rsidP="00981270">
            <w:pPr>
              <w:widowControl w:val="0"/>
              <w:ind w:left="113" w:hanging="113"/>
              <w:rPr>
                <w:sz w:val="18"/>
                <w:szCs w:val="18"/>
              </w:rPr>
            </w:pPr>
            <w:proofErr w:type="spellStart"/>
            <w:r w:rsidRPr="001823ED">
              <w:rPr>
                <w:sz w:val="18"/>
                <w:szCs w:val="18"/>
              </w:rPr>
              <w:t>Fettweis</w:t>
            </w:r>
            <w:proofErr w:type="spellEnd"/>
          </w:p>
          <w:p w14:paraId="1ECD6E88" w14:textId="76DD548E" w:rsidR="00AD6A09" w:rsidRPr="001823ED" w:rsidRDefault="00AD6A09" w:rsidP="00981270">
            <w:pPr>
              <w:widowControl w:val="0"/>
              <w:rPr>
                <w:sz w:val="18"/>
                <w:szCs w:val="18"/>
              </w:rPr>
            </w:pPr>
            <w:r w:rsidRPr="001823ED">
              <w:rPr>
                <w:sz w:val="18"/>
                <w:szCs w:val="18"/>
              </w:rPr>
              <w:t>2019</w:t>
            </w:r>
            <w:r w:rsidRPr="001823ED">
              <w:rPr>
                <w:sz w:val="18"/>
                <w:szCs w:val="18"/>
              </w:rPr>
              <w:fldChar w:fldCharType="begin" w:fldLock="1"/>
            </w:r>
            <w:r w:rsidR="008225FC">
              <w:rPr>
                <w:sz w:val="18"/>
                <w:szCs w:val="18"/>
              </w:rPr>
              <w:instrText>ADDIN CSL_CITATION {"citationItems":[{"id":"ITEM-1","itemData":{"DOI":"10.1038/s41591-019-0450-2","ISSN":"1546170X","abstract":"The incidence of preterm birth exceeds 10% worldwide. There are significant disparities in the frequency of preterm birth among populations within countries, and women of African ancestry disproportionately bear the burden of risk in the United States. In the present study, we report a community resource that includes ‘omics’ data from approximately 12,000 samples as part of the integrative Human Microbiome Project. Longitudinal analyses of 16S ribosomal RNA, metagenomic, metatranscriptomic and cytokine profiles from 45 preterm and 90 term birth controls identified harbingers of preterm birth in this cohort of women predominantly of African ancestry. Women who delivered preterm exhibited significantly lower vaginal levels of Lactobacillus crispatus and higher levels of BVAB1, Sneathia amnii, TM7-H1, a group of Prevotella species and nine additional taxa. The first representative genomes of BVAB1 and TM7-H1 are described. Preterm-birth-associated taxa were correlated with proinflammatory cytokines in vaginal fluid. These findings highlight new opportunities for assessment of the risk of preterm birth.","author":[{"dropping-particle":"","family":"Fettweis","given":"Jennifer M.","non-dropping-particle":"","parse-names":false,"suffix":""},{"dropping-particle":"","family":"Serrano","given":"Myrna G.","non-dropping-particle":"","parse-names":false,"suffix":""},{"dropping-particle":"","family":"Brooks","given":"J. Paul","non-dropping-particle":"","parse-names":false,"suffix":""},{"dropping-particle":"","family":"Edwards","given":"David J.","non-dropping-particle":"","parse-names":false,"suffix":""},{"dropping-particle":"","family":"Girerd","given":"Philippe H.","non-dropping-particle":"","parse-names":false,"suffix":""},{"dropping-particle":"","family":"Parikh","given":"Hardik I.","non-dropping-particle":"","parse-names":false,"suffix":""},{"dropping-particle":"","family":"Huang","given":"Bernice","non-dropping-particle":"","parse-names":false,"suffix":""},{"dropping-particle":"","family":"Arodz","given":"Tom J.","non-dropping-particle":"","parse-names":false,"suffix":""},{"dropping-particle":"","family":"Edupuganti","given":"Laahirie","non-dropping-particle":"","parse-names":false,"suffix":""},{"dropping-particle":"","family":"Glascock","given":"Abigail L.","non-dropping-particle":"","parse-names":false,"suffix":""},{"dropping-particle":"","family":"Xu","given":"Jie","non-dropping-particle":"","parse-names":false,"suffix":""},{"dropping-particle":"","family":"Jimenez","given":"Nicole R.","non-dropping-particle":"","parse-names":false,"suffix":""},{"dropping-particle":"","family":"Vivadelli","given":"Stephany C.","non-dropping-particle":"","parse-names":false,"suffix":""},{"dropping-particle":"","family":"Fong","given":"Stephen S.","non-dropping-particle":"","parse-names":false,"suffix":""},{"dropping-particle":"","family":"Sheth","given":"Nihar U.","non-dropping-particle":"","parse-names":false,"suffix":""},{"dropping-particle":"","family":"Jean","given":"Sophonie","non-dropping-particle":"","parse-names":false,"suffix":""},{"dropping-particle":"","family":"Lee","given":"Vladimir","non-dropping-particle":"","parse-names":false,"suffix":""},{"dropping-particle":"","family":"Bokhari","given":"Yahya A.","non-dropping-particle":"","parse-names":false,"suffix":""},{"dropping-particle":"","family":"Lara","given":"Ana M.","non-dropping-particle":"","parse-names":false,"suffix":""},{"dropping-particle":"","family":"Mistry","given":"Shreni D.","non-dropping-particle":"","parse-names":false,"suffix":""},{"dropping-particle":"","family":"Duckworth","given":"Robert A.","non-dropping-particle":"","parse-names":false,"suffix":""},{"dropping-particle":"","family":"Bradley","given":"Steven P.","non-dropping-particle":"","parse-names":false,"suffix":""},{"dropping-particle":"","family":"Koparde","given":"Vishal N.","non-dropping-particle":"","parse-names":false,"suffix":""},{"dropping-particle":"","family":"Orenda","given":"X. Valentine","non-dropping-particle":"","parse-names":false,"suffix":""},{"dropping-particle":"","family":"Milton","given":"Sarah H.","non-dropping-particle":"","parse-names":false,"suffix":""},{"dropping-particle":"","family":"Rozycki","given":"Sarah K.","non-dropping-particle":"","parse-names":false,"suffix":""},{"dropping-particle":"V.","family":"Matveyev","given":"Andrey","non-dropping-particle":"","parse-names":false,"suffix":""},{"dropping-particle":"","family":"Wright","given":"Michelle L.","non-dropping-particle":"","parse-names":false,"suffix":""},{"dropping-particle":"V.","family":"Huzurbazar","given":"Snehalata","non-dropping-particle":"","parse-names":false,"suffix":""},{"dropping-particle":"","family":"Jackson","given":"Eugenie M.","non-dropping-particle":"","parse-names":false,"suffix":""},{"dropping-particle":"","family":"Smirnova","given":"Ekaterina","non-dropping-particle":"","parse-names":false,"suffix":""},{"dropping-particle":"","family":"Korlach","given":"Jonas","non-dropping-particle":"","parse-names":false,"suffix":""},{"dropping-particle":"","family":"Tsai","given":"Yu Chih","non-dropping-particle":"","parse-names":false,"suffix":""},{"dropping-particle":"","family":"Dickinson","given":"Molly R.","non-dropping-particle":"","parse-names":false,"suffix":""},{"dropping-particle":"","family":"Brooks","given":"Jamie L.","non-dropping-particle":"","parse-names":false,"suffix":""},{"dropping-particle":"","family":"Drake","given":"Jennifer I.","non-dropping-particle":"","parse-names":false,"suffix":""},{"dropping-particle":"","family":"Chaffin","given":"Donald O.","non-dropping-particle":"","parse-names":false,"suffix":""},{"dropping-particle":"","family":"Sexton","given":"Amber L.","non-dropping-particle":"","parse-names":false,"suffix":""},{"dropping-particle":"","family":"Gravett","given":"Michael G.","non-dropping-particle":"","parse-names":false,"suffix":""},{"dropping-particle":"","family":"Rubens","given":"Craig E.","non-dropping-particle":"","parse-names":false,"suffix":""},{"dropping-particle":"","family":"Wijesooriya","given":"N. Romesh","non-dropping-particle":"","parse-names":false,"suffix":""},{"dropping-particle":"","family":"Hendricks-Muñoz","given":"Karen D.","non-dropping-particle":"","parse-names":false,"suffix":""},{"dropping-particle":"","family":"Jefferson","given":"Kimberly K.","non-dropping-particle":"","parse-names":false,"suffix":""},{"dropping-particle":"","family":"Strauss","given":"Jerome F.","non-dropping-particle":"","parse-names":false,"suffix":""},{"dropping-particle":"","family":"Buck","given":"Gregory A.","non-dropping-particle":"","parse-names":false,"suffix":""}],"container-title":"Nature Medicine","id":"ITEM-1","issue":"6","issued":{"date-parts":[["2019"]]},"page":"1012-1021","title":"The vaginal microbiome and preterm birth","type":"article-journal","volume":"25"},"uris":["http://www.mendeley.com/documents/?uuid=f54b6faa-61fc-47b2-88c3-37a7cc047392"]}],"mendeley":{"formattedCitation":"&lt;sup&gt;7&lt;/sup&gt;","plainTextFormattedCitation":"7","previouslyFormattedCitation":"&lt;sup&gt;7&lt;/sup&gt;"},"properties":{"noteIndex":0},"schema":"https://github.com/citation-style-language/schema/raw/master/csl-citation.json"}</w:instrText>
            </w:r>
            <w:r w:rsidRPr="001823ED">
              <w:rPr>
                <w:sz w:val="18"/>
                <w:szCs w:val="18"/>
              </w:rPr>
              <w:fldChar w:fldCharType="separate"/>
            </w:r>
            <w:r w:rsidR="0042078F" w:rsidRPr="0042078F">
              <w:rPr>
                <w:noProof/>
                <w:sz w:val="18"/>
                <w:szCs w:val="18"/>
                <w:vertAlign w:val="superscript"/>
              </w:rPr>
              <w:t>7</w:t>
            </w:r>
            <w:r w:rsidRPr="001823ED">
              <w:rPr>
                <w:sz w:val="18"/>
                <w:szCs w:val="18"/>
              </w:rPr>
              <w:fldChar w:fldCharType="end"/>
            </w:r>
          </w:p>
        </w:tc>
      </w:tr>
      <w:tr w:rsidR="005F07B5" w:rsidRPr="001823ED" w14:paraId="726AB5D6" w14:textId="77777777" w:rsidTr="00981270">
        <w:trPr>
          <w:trHeight w:val="292"/>
        </w:trPr>
        <w:tc>
          <w:tcPr>
            <w:tcW w:w="846" w:type="dxa"/>
            <w:vMerge w:val="restart"/>
            <w:shd w:val="clear" w:color="auto" w:fill="auto"/>
            <w:textDirection w:val="btLr"/>
            <w:vAlign w:val="center"/>
          </w:tcPr>
          <w:p w14:paraId="4BA67D86" w14:textId="77777777" w:rsidR="00485E28" w:rsidRPr="001823ED" w:rsidRDefault="00485E28" w:rsidP="00981270">
            <w:pPr>
              <w:widowControl w:val="0"/>
              <w:ind w:left="113" w:right="113"/>
              <w:jc w:val="center"/>
              <w:rPr>
                <w:rFonts w:cs="Calibri"/>
              </w:rPr>
            </w:pPr>
            <w:r w:rsidRPr="001823ED">
              <w:rPr>
                <w:rFonts w:cs="Calibri"/>
              </w:rPr>
              <w:t>Global sample assessments</w:t>
            </w:r>
          </w:p>
        </w:tc>
        <w:tc>
          <w:tcPr>
            <w:tcW w:w="3402" w:type="dxa"/>
            <w:shd w:val="clear" w:color="auto" w:fill="auto"/>
          </w:tcPr>
          <w:p w14:paraId="4D2A671A" w14:textId="77777777" w:rsidR="00485E28" w:rsidRPr="001823ED" w:rsidRDefault="00485E28" w:rsidP="00981270">
            <w:pPr>
              <w:widowControl w:val="0"/>
              <w:rPr>
                <w:rFonts w:cs="Calibri"/>
                <w:sz w:val="20"/>
                <w:szCs w:val="20"/>
              </w:rPr>
            </w:pPr>
            <w:r w:rsidRPr="001823ED">
              <w:rPr>
                <w:rFonts w:cs="Calibri"/>
                <w:sz w:val="20"/>
                <w:szCs w:val="20"/>
              </w:rPr>
              <w:t>Species richness</w:t>
            </w:r>
          </w:p>
        </w:tc>
        <w:tc>
          <w:tcPr>
            <w:tcW w:w="897" w:type="dxa"/>
            <w:shd w:val="clear" w:color="auto" w:fill="D9D9D9"/>
          </w:tcPr>
          <w:p w14:paraId="6EC24016" w14:textId="77777777" w:rsidR="00485E28" w:rsidRPr="001823ED" w:rsidRDefault="00485E28" w:rsidP="00981270">
            <w:pPr>
              <w:widowControl w:val="0"/>
              <w:ind w:right="-104" w:firstLine="360"/>
              <w:jc w:val="center"/>
              <w:rPr>
                <w:rFonts w:cs="Calibri"/>
              </w:rPr>
            </w:pPr>
          </w:p>
        </w:tc>
        <w:tc>
          <w:tcPr>
            <w:tcW w:w="898" w:type="dxa"/>
            <w:shd w:val="clear" w:color="auto" w:fill="D9D9D9"/>
          </w:tcPr>
          <w:p w14:paraId="2D217E8F" w14:textId="77777777" w:rsidR="00485E28" w:rsidRPr="001823ED" w:rsidRDefault="00485E28" w:rsidP="00981270">
            <w:pPr>
              <w:widowControl w:val="0"/>
              <w:ind w:firstLine="360"/>
              <w:jc w:val="center"/>
              <w:rPr>
                <w:rFonts w:cs="Calibri"/>
              </w:rPr>
            </w:pPr>
          </w:p>
        </w:tc>
        <w:tc>
          <w:tcPr>
            <w:tcW w:w="898" w:type="dxa"/>
            <w:shd w:val="clear" w:color="auto" w:fill="D9D9D9"/>
          </w:tcPr>
          <w:p w14:paraId="79010372" w14:textId="77777777" w:rsidR="00485E28" w:rsidRPr="001823ED" w:rsidRDefault="00485E28" w:rsidP="00981270">
            <w:pPr>
              <w:widowControl w:val="0"/>
              <w:ind w:firstLine="360"/>
              <w:jc w:val="center"/>
              <w:rPr>
                <w:rFonts w:cs="Calibri"/>
              </w:rPr>
            </w:pPr>
          </w:p>
        </w:tc>
        <w:tc>
          <w:tcPr>
            <w:tcW w:w="898" w:type="dxa"/>
            <w:shd w:val="clear" w:color="auto" w:fill="auto"/>
            <w:vAlign w:val="center"/>
          </w:tcPr>
          <w:p w14:paraId="36EE21E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68976D9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14531491" w14:textId="77777777" w:rsidR="00485E28" w:rsidRPr="001823ED" w:rsidRDefault="00485E28" w:rsidP="00981270">
            <w:pPr>
              <w:widowControl w:val="0"/>
              <w:ind w:firstLine="360"/>
              <w:jc w:val="center"/>
              <w:rPr>
                <w:rFonts w:cs="Calibri"/>
              </w:rPr>
            </w:pPr>
          </w:p>
        </w:tc>
        <w:tc>
          <w:tcPr>
            <w:tcW w:w="898" w:type="dxa"/>
            <w:shd w:val="clear" w:color="auto" w:fill="auto"/>
            <w:vAlign w:val="center"/>
          </w:tcPr>
          <w:p w14:paraId="5248BDB1"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4BA1FFE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20E3EBA9"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2D46D96"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tcPr>
          <w:p w14:paraId="0A7D005E"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7883C6B3" w14:textId="77777777" w:rsidR="00485E28" w:rsidRPr="001823ED" w:rsidRDefault="00485E28" w:rsidP="00981270">
            <w:pPr>
              <w:widowControl w:val="0"/>
              <w:ind w:firstLine="360"/>
              <w:jc w:val="center"/>
              <w:rPr>
                <w:rFonts w:cs="Calibri"/>
                <w:sz w:val="20"/>
                <w:szCs w:val="20"/>
              </w:rPr>
            </w:pPr>
          </w:p>
        </w:tc>
      </w:tr>
      <w:tr w:rsidR="005F07B5" w:rsidRPr="001823ED" w14:paraId="3CFA8332" w14:textId="77777777" w:rsidTr="00981270">
        <w:trPr>
          <w:trHeight w:val="292"/>
        </w:trPr>
        <w:tc>
          <w:tcPr>
            <w:tcW w:w="846" w:type="dxa"/>
            <w:vMerge/>
            <w:shd w:val="clear" w:color="auto" w:fill="auto"/>
          </w:tcPr>
          <w:p w14:paraId="02CED9D8" w14:textId="77777777" w:rsidR="00485E28" w:rsidRPr="001823ED" w:rsidRDefault="00485E28" w:rsidP="00981270">
            <w:pPr>
              <w:widowControl w:val="0"/>
              <w:ind w:firstLine="360"/>
              <w:rPr>
                <w:rFonts w:cs="Calibri"/>
                <w:sz w:val="20"/>
                <w:szCs w:val="20"/>
              </w:rPr>
            </w:pPr>
          </w:p>
        </w:tc>
        <w:tc>
          <w:tcPr>
            <w:tcW w:w="3402" w:type="dxa"/>
            <w:shd w:val="clear" w:color="auto" w:fill="auto"/>
          </w:tcPr>
          <w:p w14:paraId="5487D3C3" w14:textId="77777777" w:rsidR="00485E28" w:rsidRPr="001823ED" w:rsidRDefault="00485E28" w:rsidP="00981270">
            <w:pPr>
              <w:widowControl w:val="0"/>
              <w:rPr>
                <w:rFonts w:cs="Calibri"/>
                <w:sz w:val="20"/>
                <w:szCs w:val="20"/>
              </w:rPr>
            </w:pPr>
            <w:r w:rsidRPr="001823ED">
              <w:rPr>
                <w:rFonts w:cs="Calibri"/>
                <w:sz w:val="20"/>
                <w:szCs w:val="20"/>
              </w:rPr>
              <w:t>Species diversity (alpha diversity)</w:t>
            </w:r>
          </w:p>
        </w:tc>
        <w:tc>
          <w:tcPr>
            <w:tcW w:w="897" w:type="dxa"/>
            <w:shd w:val="clear" w:color="auto" w:fill="auto"/>
            <w:vAlign w:val="center"/>
          </w:tcPr>
          <w:p w14:paraId="79D3C4B1"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C2DBDE0"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11DA12B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60CD63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6583C13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0A9954B3"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3752FD17"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05C43FB0"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vAlign w:val="center"/>
          </w:tcPr>
          <w:p w14:paraId="54CBFEB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0F823D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A8331F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620A22D"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r>
      <w:tr w:rsidR="005F07B5" w:rsidRPr="001823ED" w14:paraId="16748EAE" w14:textId="77777777" w:rsidTr="00981270">
        <w:trPr>
          <w:trHeight w:val="133"/>
        </w:trPr>
        <w:tc>
          <w:tcPr>
            <w:tcW w:w="846" w:type="dxa"/>
            <w:vMerge/>
            <w:shd w:val="clear" w:color="auto" w:fill="auto"/>
          </w:tcPr>
          <w:p w14:paraId="7187EFC0" w14:textId="77777777" w:rsidR="00485E28" w:rsidRPr="001823ED" w:rsidRDefault="00485E28" w:rsidP="00981270">
            <w:pPr>
              <w:widowControl w:val="0"/>
              <w:ind w:firstLine="360"/>
              <w:rPr>
                <w:rFonts w:cs="Calibri"/>
                <w:sz w:val="20"/>
                <w:szCs w:val="20"/>
              </w:rPr>
            </w:pPr>
          </w:p>
        </w:tc>
        <w:tc>
          <w:tcPr>
            <w:tcW w:w="3402" w:type="dxa"/>
            <w:shd w:val="clear" w:color="auto" w:fill="auto"/>
          </w:tcPr>
          <w:p w14:paraId="070589BF" w14:textId="5D5BD7D3" w:rsidR="00485E28" w:rsidRPr="001823ED" w:rsidRDefault="00A35045" w:rsidP="00981270">
            <w:pPr>
              <w:widowControl w:val="0"/>
              <w:rPr>
                <w:rFonts w:cs="Calibri"/>
                <w:sz w:val="20"/>
                <w:szCs w:val="20"/>
              </w:rPr>
            </w:pPr>
            <w:r w:rsidRPr="001823ED">
              <w:rPr>
                <w:rFonts w:cs="Calibri"/>
                <w:sz w:val="20"/>
                <w:szCs w:val="20"/>
              </w:rPr>
              <w:t>Community state types</w:t>
            </w:r>
          </w:p>
        </w:tc>
        <w:tc>
          <w:tcPr>
            <w:tcW w:w="897" w:type="dxa"/>
            <w:shd w:val="clear" w:color="auto" w:fill="auto"/>
            <w:vAlign w:val="center"/>
          </w:tcPr>
          <w:p w14:paraId="7A821490"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6B5BD0A5" w14:textId="325759A7" w:rsidR="00485E28" w:rsidRPr="00285C24" w:rsidRDefault="00285C24" w:rsidP="00981270">
            <w:pPr>
              <w:widowControl w:val="0"/>
              <w:jc w:val="center"/>
              <w:rPr>
                <w:rFonts w:cs="Calibri"/>
                <w:sz w:val="16"/>
                <w:szCs w:val="16"/>
              </w:rPr>
            </w:pPr>
            <w:r w:rsidRPr="00285C24">
              <w:rPr>
                <w:rFonts w:cs="Calibri"/>
                <w:sz w:val="16"/>
                <w:szCs w:val="16"/>
              </w:rPr>
              <w:t xml:space="preserve">CST </w:t>
            </w:r>
            <w:r w:rsidR="00485E28" w:rsidRPr="00285C24">
              <w:rPr>
                <w:rFonts w:cs="Calibri"/>
                <w:sz w:val="16"/>
                <w:szCs w:val="16"/>
              </w:rPr>
              <w:t xml:space="preserve">IV </w:t>
            </w:r>
            <w:r w:rsidR="00485E28" w:rsidRPr="00285C24">
              <w:rPr>
                <w:rFonts w:cs="Arial"/>
                <w:b/>
                <w:bCs/>
                <w:sz w:val="16"/>
                <w:szCs w:val="16"/>
                <w:shd w:val="clear" w:color="auto" w:fill="FFFFFF"/>
              </w:rPr>
              <w:t>↑</w:t>
            </w:r>
          </w:p>
        </w:tc>
        <w:tc>
          <w:tcPr>
            <w:tcW w:w="898" w:type="dxa"/>
            <w:shd w:val="clear" w:color="auto" w:fill="D9D9D9"/>
            <w:vAlign w:val="center"/>
          </w:tcPr>
          <w:p w14:paraId="3C603F5B"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36B51CF"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572E648A" w14:textId="66F50B32" w:rsidR="00485E28" w:rsidRPr="00285C24" w:rsidRDefault="00485E28" w:rsidP="00981270">
            <w:pPr>
              <w:widowControl w:val="0"/>
              <w:ind w:right="-155" w:hanging="152"/>
              <w:jc w:val="center"/>
              <w:rPr>
                <w:rFonts w:cs="Calibri"/>
                <w:sz w:val="16"/>
                <w:szCs w:val="16"/>
              </w:rPr>
            </w:pPr>
            <w:r w:rsidRPr="00285C24">
              <w:rPr>
                <w:rFonts w:cs="Calibri"/>
                <w:sz w:val="16"/>
                <w:szCs w:val="16"/>
              </w:rPr>
              <w:t>CST III ↑</w:t>
            </w:r>
            <w:r w:rsidR="00285C24">
              <w:rPr>
                <w:rFonts w:cs="Calibri"/>
                <w:sz w:val="16"/>
                <w:szCs w:val="16"/>
              </w:rPr>
              <w:t xml:space="preserve">, </w:t>
            </w:r>
            <w:r w:rsidRPr="00285C24">
              <w:rPr>
                <w:rFonts w:cs="Calibri"/>
                <w:sz w:val="16"/>
                <w:szCs w:val="16"/>
              </w:rPr>
              <w:t>I ↓</w:t>
            </w:r>
          </w:p>
        </w:tc>
        <w:tc>
          <w:tcPr>
            <w:tcW w:w="898" w:type="dxa"/>
            <w:shd w:val="clear" w:color="auto" w:fill="D9D9D9"/>
            <w:vAlign w:val="center"/>
          </w:tcPr>
          <w:p w14:paraId="29D3E304"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40B8E4F9"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1034FA1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5B6B8286" w14:textId="6F89777E" w:rsidR="00485E28" w:rsidRPr="00285C24" w:rsidRDefault="00285C24" w:rsidP="00981270">
            <w:pPr>
              <w:widowControl w:val="0"/>
              <w:jc w:val="center"/>
              <w:rPr>
                <w:rFonts w:cs="Calibri"/>
                <w:sz w:val="16"/>
                <w:szCs w:val="16"/>
              </w:rPr>
            </w:pPr>
            <w:r w:rsidRPr="00285C24">
              <w:rPr>
                <w:rFonts w:cs="Calibri"/>
                <w:sz w:val="16"/>
                <w:szCs w:val="16"/>
              </w:rPr>
              <w:t xml:space="preserve">CST </w:t>
            </w:r>
            <w:r w:rsidR="00485E28" w:rsidRPr="00285C24">
              <w:rPr>
                <w:rFonts w:cs="Calibri"/>
                <w:sz w:val="16"/>
                <w:szCs w:val="16"/>
              </w:rPr>
              <w:t xml:space="preserve">IV </w:t>
            </w:r>
            <w:r w:rsidR="00485E28" w:rsidRPr="00285C24">
              <w:rPr>
                <w:rFonts w:cs="Arial"/>
                <w:b/>
                <w:bCs/>
                <w:sz w:val="16"/>
                <w:szCs w:val="16"/>
                <w:shd w:val="clear" w:color="auto" w:fill="FFFFFF"/>
              </w:rPr>
              <w:t>↑</w:t>
            </w:r>
          </w:p>
        </w:tc>
        <w:tc>
          <w:tcPr>
            <w:tcW w:w="898" w:type="dxa"/>
            <w:shd w:val="clear" w:color="auto" w:fill="D9D9D9"/>
            <w:vAlign w:val="center"/>
          </w:tcPr>
          <w:p w14:paraId="467B28AB"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7DD407BA" w14:textId="3BA0B4C2" w:rsidR="00485E28" w:rsidRPr="00285C24" w:rsidRDefault="00285C24" w:rsidP="00981270">
            <w:pPr>
              <w:widowControl w:val="0"/>
              <w:jc w:val="center"/>
              <w:rPr>
                <w:rFonts w:cs="Calibri"/>
                <w:sz w:val="16"/>
                <w:szCs w:val="16"/>
              </w:rPr>
            </w:pPr>
            <w:r w:rsidRPr="00285C24">
              <w:rPr>
                <w:rFonts w:cs="Calibri"/>
                <w:sz w:val="16"/>
                <w:szCs w:val="16"/>
              </w:rPr>
              <w:t xml:space="preserve">CST </w:t>
            </w:r>
            <w:r w:rsidR="00485E28" w:rsidRPr="00285C24">
              <w:rPr>
                <w:rFonts w:cs="Calibri"/>
                <w:sz w:val="16"/>
                <w:szCs w:val="16"/>
              </w:rPr>
              <w:t xml:space="preserve">IV </w:t>
            </w:r>
            <w:r w:rsidR="00485E28" w:rsidRPr="00285C24">
              <w:rPr>
                <w:rFonts w:cs="Arial"/>
                <w:b/>
                <w:bCs/>
                <w:sz w:val="16"/>
                <w:szCs w:val="16"/>
                <w:shd w:val="clear" w:color="auto" w:fill="FFFFFF"/>
              </w:rPr>
              <w:t>↑</w:t>
            </w:r>
          </w:p>
        </w:tc>
        <w:tc>
          <w:tcPr>
            <w:tcW w:w="898" w:type="dxa"/>
            <w:shd w:val="clear" w:color="auto" w:fill="auto"/>
            <w:vAlign w:val="center"/>
          </w:tcPr>
          <w:p w14:paraId="4A396215" w14:textId="77777777" w:rsidR="00485E28" w:rsidRPr="00285C24" w:rsidRDefault="00485E28" w:rsidP="00981270">
            <w:pPr>
              <w:widowControl w:val="0"/>
              <w:jc w:val="center"/>
              <w:rPr>
                <w:rFonts w:cs="Calibri"/>
                <w:sz w:val="16"/>
                <w:szCs w:val="16"/>
              </w:rPr>
            </w:pPr>
            <w:r w:rsidRPr="00285C24">
              <w:rPr>
                <w:rFonts w:cs="Calibri"/>
                <w:sz w:val="16"/>
                <w:szCs w:val="16"/>
              </w:rPr>
              <w:t>CST I ↓</w:t>
            </w:r>
          </w:p>
        </w:tc>
      </w:tr>
      <w:tr w:rsidR="005F07B5" w:rsidRPr="001823ED" w14:paraId="01C16FA0" w14:textId="77777777" w:rsidTr="00981270">
        <w:trPr>
          <w:trHeight w:val="194"/>
        </w:trPr>
        <w:tc>
          <w:tcPr>
            <w:tcW w:w="846" w:type="dxa"/>
            <w:vMerge/>
            <w:shd w:val="clear" w:color="auto" w:fill="auto"/>
          </w:tcPr>
          <w:p w14:paraId="109274E4" w14:textId="77777777" w:rsidR="00485E28" w:rsidRPr="001823ED" w:rsidRDefault="00485E28" w:rsidP="00981270">
            <w:pPr>
              <w:widowControl w:val="0"/>
              <w:ind w:firstLine="360"/>
              <w:rPr>
                <w:rFonts w:cs="Calibri"/>
                <w:sz w:val="20"/>
                <w:szCs w:val="20"/>
              </w:rPr>
            </w:pPr>
          </w:p>
        </w:tc>
        <w:tc>
          <w:tcPr>
            <w:tcW w:w="3402" w:type="dxa"/>
            <w:shd w:val="clear" w:color="auto" w:fill="auto"/>
          </w:tcPr>
          <w:p w14:paraId="5D9B13D6" w14:textId="21429851" w:rsidR="00485E28" w:rsidRPr="001823ED" w:rsidRDefault="00485E28" w:rsidP="00981270">
            <w:pPr>
              <w:widowControl w:val="0"/>
              <w:rPr>
                <w:rFonts w:cs="Calibri"/>
                <w:iCs/>
                <w:sz w:val="20"/>
                <w:szCs w:val="20"/>
              </w:rPr>
            </w:pPr>
            <w:r w:rsidRPr="001823ED">
              <w:rPr>
                <w:rFonts w:cs="Calibri"/>
                <w:i/>
                <w:iCs/>
                <w:sz w:val="20"/>
                <w:szCs w:val="20"/>
              </w:rPr>
              <w:t>Lactobacillus</w:t>
            </w:r>
            <w:r w:rsidR="00B016A6" w:rsidRPr="001823ED">
              <w:rPr>
                <w:rFonts w:cs="Calibri"/>
                <w:i/>
                <w:iCs/>
                <w:sz w:val="20"/>
                <w:szCs w:val="20"/>
              </w:rPr>
              <w:t xml:space="preserve"> </w:t>
            </w:r>
            <w:r w:rsidR="00B016A6" w:rsidRPr="001823ED">
              <w:rPr>
                <w:rFonts w:cs="Calibri"/>
                <w:iCs/>
                <w:sz w:val="20"/>
                <w:szCs w:val="20"/>
              </w:rPr>
              <w:t>relative abundance</w:t>
            </w:r>
            <w:r w:rsidR="00A35045" w:rsidRPr="001823ED">
              <w:rPr>
                <w:rFonts w:cs="Calibri"/>
                <w:iCs/>
                <w:sz w:val="20"/>
                <w:szCs w:val="20"/>
              </w:rPr>
              <w:t xml:space="preserve"> group</w:t>
            </w:r>
          </w:p>
        </w:tc>
        <w:tc>
          <w:tcPr>
            <w:tcW w:w="897" w:type="dxa"/>
            <w:shd w:val="clear" w:color="auto" w:fill="D9D9D9"/>
            <w:vAlign w:val="center"/>
          </w:tcPr>
          <w:p w14:paraId="2154DDBF"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4FCBBC8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60C8692"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9936EB9"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680B875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D534602" w14:textId="46B18CFE" w:rsidR="00485E28" w:rsidRPr="00285C24" w:rsidRDefault="00485E28" w:rsidP="00981270">
            <w:pPr>
              <w:widowControl w:val="0"/>
              <w:ind w:right="-108" w:hanging="58"/>
              <w:jc w:val="center"/>
              <w:rPr>
                <w:rFonts w:cs="Calibri"/>
                <w:i/>
                <w:iCs/>
                <w:sz w:val="16"/>
                <w:szCs w:val="16"/>
              </w:rPr>
            </w:pPr>
            <w:r w:rsidRPr="00285C24">
              <w:rPr>
                <w:rFonts w:cs="Calibri"/>
                <w:sz w:val="16"/>
                <w:szCs w:val="16"/>
              </w:rPr>
              <w:t xml:space="preserve">Low </w:t>
            </w:r>
            <w:proofErr w:type="spellStart"/>
            <w:r w:rsidR="00EA00CC" w:rsidRPr="00285C24">
              <w:rPr>
                <w:rFonts w:cs="Calibri"/>
                <w:i/>
                <w:iCs/>
                <w:sz w:val="16"/>
                <w:szCs w:val="16"/>
              </w:rPr>
              <w:t>l</w:t>
            </w:r>
            <w:r w:rsidRPr="00285C24">
              <w:rPr>
                <w:rFonts w:cs="Calibri"/>
                <w:i/>
                <w:iCs/>
                <w:sz w:val="16"/>
                <w:szCs w:val="16"/>
              </w:rPr>
              <w:t>actos</w:t>
            </w:r>
            <w:proofErr w:type="spellEnd"/>
          </w:p>
        </w:tc>
        <w:tc>
          <w:tcPr>
            <w:tcW w:w="898" w:type="dxa"/>
            <w:shd w:val="clear" w:color="auto" w:fill="D9D9D9"/>
            <w:vAlign w:val="center"/>
          </w:tcPr>
          <w:p w14:paraId="1EB17FD0"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A81142C"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64EFAC02"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9A6A244" w14:textId="78265BAC" w:rsidR="00485E28" w:rsidRPr="00285C24" w:rsidRDefault="00485E28" w:rsidP="00981270">
            <w:pPr>
              <w:widowControl w:val="0"/>
              <w:ind w:right="-62" w:hanging="104"/>
              <w:jc w:val="center"/>
              <w:rPr>
                <w:rFonts w:cs="Calibri"/>
                <w:sz w:val="16"/>
                <w:szCs w:val="16"/>
              </w:rPr>
            </w:pPr>
            <w:r w:rsidRPr="00285C24">
              <w:rPr>
                <w:rFonts w:cs="Calibri"/>
                <w:sz w:val="16"/>
                <w:szCs w:val="16"/>
              </w:rPr>
              <w:t xml:space="preserve">Low </w:t>
            </w:r>
            <w:proofErr w:type="spellStart"/>
            <w:r w:rsidR="00EA00CC" w:rsidRPr="00285C24">
              <w:rPr>
                <w:rFonts w:cs="Calibri"/>
                <w:i/>
                <w:iCs/>
                <w:sz w:val="16"/>
                <w:szCs w:val="16"/>
              </w:rPr>
              <w:t>l</w:t>
            </w:r>
            <w:r w:rsidRPr="00285C24">
              <w:rPr>
                <w:rFonts w:cs="Calibri"/>
                <w:i/>
                <w:iCs/>
                <w:sz w:val="16"/>
                <w:szCs w:val="16"/>
              </w:rPr>
              <w:t>actos</w:t>
            </w:r>
            <w:proofErr w:type="spellEnd"/>
          </w:p>
        </w:tc>
        <w:tc>
          <w:tcPr>
            <w:tcW w:w="898" w:type="dxa"/>
            <w:shd w:val="clear" w:color="auto" w:fill="D9D9D9"/>
            <w:vAlign w:val="center"/>
          </w:tcPr>
          <w:p w14:paraId="68ABE6DD"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25C49629" w14:textId="77777777" w:rsidR="00485E28" w:rsidRPr="001823ED" w:rsidRDefault="00485E28" w:rsidP="00981270">
            <w:pPr>
              <w:widowControl w:val="0"/>
              <w:ind w:firstLine="360"/>
              <w:jc w:val="center"/>
              <w:rPr>
                <w:rFonts w:cs="Calibri"/>
                <w:sz w:val="20"/>
                <w:szCs w:val="20"/>
              </w:rPr>
            </w:pPr>
          </w:p>
        </w:tc>
      </w:tr>
      <w:tr w:rsidR="005F07B5" w:rsidRPr="001823ED" w14:paraId="29E9E5AE" w14:textId="77777777" w:rsidTr="00981270">
        <w:trPr>
          <w:trHeight w:val="243"/>
        </w:trPr>
        <w:tc>
          <w:tcPr>
            <w:tcW w:w="846" w:type="dxa"/>
            <w:vMerge/>
            <w:shd w:val="clear" w:color="auto" w:fill="auto"/>
          </w:tcPr>
          <w:p w14:paraId="74E40099" w14:textId="77777777" w:rsidR="00485E28" w:rsidRPr="001823ED" w:rsidRDefault="00485E28" w:rsidP="00981270">
            <w:pPr>
              <w:widowControl w:val="0"/>
              <w:ind w:firstLine="360"/>
              <w:rPr>
                <w:rFonts w:cs="Calibri"/>
                <w:sz w:val="20"/>
                <w:szCs w:val="20"/>
              </w:rPr>
            </w:pPr>
          </w:p>
        </w:tc>
        <w:tc>
          <w:tcPr>
            <w:tcW w:w="3402" w:type="dxa"/>
            <w:shd w:val="clear" w:color="auto" w:fill="auto"/>
          </w:tcPr>
          <w:p w14:paraId="69F7E59E" w14:textId="77777777" w:rsidR="00485E28" w:rsidRPr="001823ED" w:rsidRDefault="00485E28" w:rsidP="00981270">
            <w:pPr>
              <w:widowControl w:val="0"/>
              <w:rPr>
                <w:rFonts w:cs="Calibri"/>
                <w:sz w:val="20"/>
                <w:szCs w:val="20"/>
              </w:rPr>
            </w:pPr>
            <w:r w:rsidRPr="001823ED">
              <w:rPr>
                <w:rFonts w:cs="Calibri"/>
                <w:sz w:val="20"/>
                <w:szCs w:val="20"/>
              </w:rPr>
              <w:t>Instability</w:t>
            </w:r>
          </w:p>
        </w:tc>
        <w:tc>
          <w:tcPr>
            <w:tcW w:w="897" w:type="dxa"/>
            <w:shd w:val="clear" w:color="auto" w:fill="D9D9D9"/>
          </w:tcPr>
          <w:p w14:paraId="6630CEDD"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tcPr>
          <w:p w14:paraId="797CE6C6"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47AE28C0"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7F5E1A19"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581C34CE"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4D22A943"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45C454CB"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17F5C757"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4AED150B"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044D28EE"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1F27F573"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AFFFF1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r>
      <w:tr w:rsidR="005F07B5" w:rsidRPr="001823ED" w14:paraId="557BE2ED" w14:textId="77777777" w:rsidTr="00981270">
        <w:trPr>
          <w:trHeight w:val="263"/>
        </w:trPr>
        <w:tc>
          <w:tcPr>
            <w:tcW w:w="846" w:type="dxa"/>
            <w:vMerge/>
            <w:shd w:val="clear" w:color="auto" w:fill="auto"/>
          </w:tcPr>
          <w:p w14:paraId="0D1D1344" w14:textId="77777777" w:rsidR="00485E28" w:rsidRPr="001823ED" w:rsidRDefault="00485E28" w:rsidP="00981270">
            <w:pPr>
              <w:widowControl w:val="0"/>
              <w:ind w:firstLine="360"/>
              <w:rPr>
                <w:rFonts w:cs="Calibri"/>
                <w:sz w:val="20"/>
                <w:szCs w:val="20"/>
              </w:rPr>
            </w:pPr>
          </w:p>
        </w:tc>
        <w:tc>
          <w:tcPr>
            <w:tcW w:w="3402" w:type="dxa"/>
            <w:shd w:val="clear" w:color="auto" w:fill="auto"/>
          </w:tcPr>
          <w:p w14:paraId="2F78BD05" w14:textId="77777777" w:rsidR="00485E28" w:rsidRPr="001823ED" w:rsidRDefault="00485E28" w:rsidP="00981270">
            <w:pPr>
              <w:widowControl w:val="0"/>
              <w:rPr>
                <w:rFonts w:cs="Calibri"/>
                <w:sz w:val="20"/>
                <w:szCs w:val="20"/>
              </w:rPr>
            </w:pPr>
            <w:r w:rsidRPr="001823ED">
              <w:rPr>
                <w:rFonts w:cs="Calibri"/>
                <w:sz w:val="20"/>
                <w:szCs w:val="20"/>
              </w:rPr>
              <w:t>Total bacterial load</w:t>
            </w:r>
          </w:p>
        </w:tc>
        <w:tc>
          <w:tcPr>
            <w:tcW w:w="897" w:type="dxa"/>
            <w:shd w:val="clear" w:color="auto" w:fill="D9D9D9"/>
          </w:tcPr>
          <w:p w14:paraId="45F82DD3"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tcPr>
          <w:p w14:paraId="5D02DCA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51D7ED2D"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63B2B083"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tcPr>
          <w:p w14:paraId="592A7146"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4C48628C"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tcPr>
          <w:p w14:paraId="0FF95FB7"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CD9B490"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76F0E44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272949F"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0BC51F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D9D9D9"/>
          </w:tcPr>
          <w:p w14:paraId="63A1E931" w14:textId="77777777" w:rsidR="00485E28" w:rsidRPr="001823ED" w:rsidRDefault="00485E28" w:rsidP="00981270">
            <w:pPr>
              <w:widowControl w:val="0"/>
              <w:ind w:firstLine="360"/>
              <w:jc w:val="center"/>
              <w:rPr>
                <w:rFonts w:cs="Calibri"/>
                <w:sz w:val="20"/>
                <w:szCs w:val="20"/>
              </w:rPr>
            </w:pPr>
          </w:p>
        </w:tc>
      </w:tr>
      <w:tr w:rsidR="005F07B5" w:rsidRPr="001823ED" w14:paraId="4E4D2276" w14:textId="77777777" w:rsidTr="00981270">
        <w:trPr>
          <w:trHeight w:val="20"/>
        </w:trPr>
        <w:tc>
          <w:tcPr>
            <w:tcW w:w="846" w:type="dxa"/>
            <w:vMerge w:val="restart"/>
            <w:shd w:val="clear" w:color="auto" w:fill="auto"/>
            <w:textDirection w:val="btLr"/>
            <w:vAlign w:val="center"/>
          </w:tcPr>
          <w:p w14:paraId="0CBD8E0B" w14:textId="3F10F1E6" w:rsidR="00485E28" w:rsidRPr="001823ED" w:rsidRDefault="00485E28" w:rsidP="00981270">
            <w:pPr>
              <w:widowControl w:val="0"/>
              <w:ind w:left="113" w:right="113"/>
              <w:jc w:val="center"/>
              <w:rPr>
                <w:rFonts w:cs="Calibri"/>
                <w:sz w:val="20"/>
                <w:szCs w:val="20"/>
              </w:rPr>
            </w:pPr>
            <w:r w:rsidRPr="001823ED">
              <w:rPr>
                <w:rFonts w:cs="Calibri"/>
                <w:sz w:val="20"/>
                <w:szCs w:val="20"/>
              </w:rPr>
              <w:t>Relative abundance of specific taxa</w:t>
            </w:r>
            <w:r w:rsidR="00AD6A09" w:rsidRPr="001823ED">
              <w:rPr>
                <w:rFonts w:cs="Calibri"/>
                <w:sz w:val="20"/>
                <w:szCs w:val="20"/>
              </w:rPr>
              <w:t xml:space="preserve"> of interest</w:t>
            </w:r>
          </w:p>
        </w:tc>
        <w:tc>
          <w:tcPr>
            <w:tcW w:w="3402" w:type="dxa"/>
            <w:shd w:val="clear" w:color="auto" w:fill="auto"/>
          </w:tcPr>
          <w:p w14:paraId="5EFEFDB5"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 xml:space="preserve">Lactobacillus </w:t>
            </w:r>
            <w:r w:rsidRPr="001823ED">
              <w:rPr>
                <w:rFonts w:cs="Calibri"/>
                <w:sz w:val="20"/>
                <w:szCs w:val="20"/>
              </w:rPr>
              <w:t>species</w:t>
            </w:r>
          </w:p>
        </w:tc>
        <w:tc>
          <w:tcPr>
            <w:tcW w:w="897" w:type="dxa"/>
            <w:shd w:val="clear" w:color="auto" w:fill="auto"/>
          </w:tcPr>
          <w:p w14:paraId="7757EE0E"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3547F1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D9D9D9"/>
            <w:vAlign w:val="center"/>
          </w:tcPr>
          <w:p w14:paraId="5B9CF790"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FD2377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2EA6AD2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B4D20E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68F4548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05B7645"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4FD4E385"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352956D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D9D9D9"/>
            <w:vAlign w:val="center"/>
          </w:tcPr>
          <w:p w14:paraId="0DF518BA"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EC247E7" w14:textId="77777777" w:rsidR="00485E28" w:rsidRPr="001823ED" w:rsidRDefault="00485E28" w:rsidP="00981270">
            <w:pPr>
              <w:widowControl w:val="0"/>
              <w:ind w:firstLine="360"/>
              <w:jc w:val="center"/>
              <w:rPr>
                <w:rFonts w:cs="Calibri"/>
                <w:sz w:val="20"/>
                <w:szCs w:val="20"/>
              </w:rPr>
            </w:pPr>
          </w:p>
        </w:tc>
      </w:tr>
      <w:tr w:rsidR="005F07B5" w:rsidRPr="001823ED" w14:paraId="3CB0C625" w14:textId="77777777" w:rsidTr="00981270">
        <w:trPr>
          <w:trHeight w:val="20"/>
        </w:trPr>
        <w:tc>
          <w:tcPr>
            <w:tcW w:w="846" w:type="dxa"/>
            <w:vMerge/>
            <w:shd w:val="clear" w:color="auto" w:fill="auto"/>
            <w:textDirection w:val="btLr"/>
          </w:tcPr>
          <w:p w14:paraId="002FF5E4" w14:textId="77777777" w:rsidR="00485E28" w:rsidRPr="001823ED" w:rsidRDefault="00485E28" w:rsidP="00981270">
            <w:pPr>
              <w:widowControl w:val="0"/>
              <w:ind w:left="113" w:right="113" w:firstLine="360"/>
              <w:rPr>
                <w:rFonts w:cs="Calibri"/>
                <w:sz w:val="20"/>
                <w:szCs w:val="20"/>
              </w:rPr>
            </w:pPr>
          </w:p>
        </w:tc>
        <w:tc>
          <w:tcPr>
            <w:tcW w:w="3402" w:type="dxa"/>
            <w:shd w:val="clear" w:color="auto" w:fill="auto"/>
          </w:tcPr>
          <w:p w14:paraId="4AF8EA51"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crispatus</w:t>
            </w:r>
            <w:proofErr w:type="spellEnd"/>
          </w:p>
        </w:tc>
        <w:tc>
          <w:tcPr>
            <w:tcW w:w="897" w:type="dxa"/>
            <w:shd w:val="clear" w:color="auto" w:fill="auto"/>
          </w:tcPr>
          <w:p w14:paraId="4A4211FF"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63B9536E"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7C27D19"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B4615A0"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2AB88A6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04A2146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58F60A8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1FF166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620BC8E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792660FD"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063B06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B73989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r>
      <w:tr w:rsidR="005F07B5" w:rsidRPr="001823ED" w14:paraId="5E4C8E8E" w14:textId="77777777" w:rsidTr="00981270">
        <w:trPr>
          <w:trHeight w:val="20"/>
        </w:trPr>
        <w:tc>
          <w:tcPr>
            <w:tcW w:w="846" w:type="dxa"/>
            <w:vMerge/>
            <w:shd w:val="clear" w:color="auto" w:fill="auto"/>
          </w:tcPr>
          <w:p w14:paraId="64AE609E"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10BD6BD0"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iners</w:t>
            </w:r>
            <w:proofErr w:type="spellEnd"/>
          </w:p>
        </w:tc>
        <w:tc>
          <w:tcPr>
            <w:tcW w:w="897" w:type="dxa"/>
            <w:shd w:val="clear" w:color="auto" w:fill="auto"/>
          </w:tcPr>
          <w:p w14:paraId="4DDDB8F1"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4E0CE019"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EFE0429"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1F27402"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5D5945C5"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44D676A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291ACB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99BEB7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4DA4AE7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41C5BF3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A461685"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4DDACF3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r>
      <w:tr w:rsidR="005F07B5" w:rsidRPr="001823ED" w14:paraId="722C8BC3" w14:textId="77777777" w:rsidTr="00981270">
        <w:trPr>
          <w:trHeight w:val="20"/>
        </w:trPr>
        <w:tc>
          <w:tcPr>
            <w:tcW w:w="846" w:type="dxa"/>
            <w:vMerge/>
            <w:shd w:val="clear" w:color="auto" w:fill="auto"/>
          </w:tcPr>
          <w:p w14:paraId="3A05B70D"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084C42EB"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jensenii</w:t>
            </w:r>
            <w:proofErr w:type="spellEnd"/>
          </w:p>
        </w:tc>
        <w:tc>
          <w:tcPr>
            <w:tcW w:w="897" w:type="dxa"/>
            <w:shd w:val="clear" w:color="auto" w:fill="auto"/>
          </w:tcPr>
          <w:p w14:paraId="70AFF900"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29F067B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6C7B4EB"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6746241"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29EA2B0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780CBF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431C725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55BE16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20E400A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65FA737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42B8F4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624F08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r>
      <w:tr w:rsidR="005F07B5" w:rsidRPr="001823ED" w14:paraId="5045ECAB" w14:textId="77777777" w:rsidTr="00981270">
        <w:trPr>
          <w:trHeight w:val="20"/>
        </w:trPr>
        <w:tc>
          <w:tcPr>
            <w:tcW w:w="846" w:type="dxa"/>
            <w:vMerge/>
            <w:shd w:val="clear" w:color="auto" w:fill="auto"/>
          </w:tcPr>
          <w:p w14:paraId="31FAA96F"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7842C8E2"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gasseri</w:t>
            </w:r>
            <w:proofErr w:type="spellEnd"/>
          </w:p>
        </w:tc>
        <w:tc>
          <w:tcPr>
            <w:tcW w:w="897" w:type="dxa"/>
            <w:shd w:val="clear" w:color="auto" w:fill="auto"/>
          </w:tcPr>
          <w:p w14:paraId="352183D5"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61CB546C"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072AF7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AC24836"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6A59339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B1DA20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3ADE469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C4679C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36BB85BD"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auto"/>
            <w:vAlign w:val="center"/>
          </w:tcPr>
          <w:p w14:paraId="53067C9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AE6EAB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7C79FB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r>
      <w:tr w:rsidR="005F07B5" w:rsidRPr="001823ED" w14:paraId="5B3CCDD4" w14:textId="77777777" w:rsidTr="00981270">
        <w:trPr>
          <w:trHeight w:val="20"/>
        </w:trPr>
        <w:tc>
          <w:tcPr>
            <w:tcW w:w="846" w:type="dxa"/>
            <w:vMerge/>
            <w:shd w:val="clear" w:color="auto" w:fill="auto"/>
          </w:tcPr>
          <w:p w14:paraId="25952BC6"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66BD01A0" w14:textId="77777777" w:rsidR="00485E28" w:rsidRPr="001823ED" w:rsidRDefault="00485E28" w:rsidP="00981270">
            <w:pPr>
              <w:widowControl w:val="0"/>
              <w:ind w:firstLine="360"/>
              <w:jc w:val="right"/>
              <w:rPr>
                <w:rFonts w:cs="Calibri"/>
                <w:i/>
                <w:iCs/>
                <w:sz w:val="20"/>
                <w:szCs w:val="20"/>
              </w:rPr>
            </w:pPr>
            <w:proofErr w:type="spellStart"/>
            <w:r w:rsidRPr="001823ED">
              <w:rPr>
                <w:i/>
                <w:sz w:val="20"/>
                <w:szCs w:val="20"/>
              </w:rPr>
              <w:t>Aerococcus</w:t>
            </w:r>
            <w:proofErr w:type="spellEnd"/>
          </w:p>
        </w:tc>
        <w:tc>
          <w:tcPr>
            <w:tcW w:w="897" w:type="dxa"/>
            <w:shd w:val="clear" w:color="auto" w:fill="auto"/>
          </w:tcPr>
          <w:p w14:paraId="7BF447E4"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6576DDD4"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C28EC5A"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900067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7" w:type="dxa"/>
            <w:shd w:val="clear" w:color="auto" w:fill="auto"/>
            <w:vAlign w:val="center"/>
          </w:tcPr>
          <w:p w14:paraId="4105184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B80A70A"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11952FA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3511D3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E7E6E6" w:themeFill="background2"/>
            <w:vAlign w:val="center"/>
          </w:tcPr>
          <w:p w14:paraId="79DA85C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4F4AB8A6" w14:textId="77777777" w:rsidR="00485E28" w:rsidRPr="001823ED" w:rsidRDefault="00485E28" w:rsidP="00981270">
            <w:pPr>
              <w:widowControl w:val="0"/>
              <w:ind w:firstLine="360"/>
              <w:jc w:val="center"/>
              <w:rPr>
                <w:rFonts w:cs="Calibri"/>
                <w:sz w:val="20"/>
                <w:szCs w:val="20"/>
              </w:rPr>
            </w:pPr>
          </w:p>
        </w:tc>
        <w:tc>
          <w:tcPr>
            <w:tcW w:w="898" w:type="dxa"/>
            <w:shd w:val="clear" w:color="auto" w:fill="E7E6E6" w:themeFill="background2"/>
            <w:vAlign w:val="center"/>
          </w:tcPr>
          <w:p w14:paraId="009A894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3923660"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r>
      <w:tr w:rsidR="005F07B5" w:rsidRPr="001823ED" w14:paraId="6D843180" w14:textId="77777777" w:rsidTr="00981270">
        <w:trPr>
          <w:trHeight w:val="20"/>
        </w:trPr>
        <w:tc>
          <w:tcPr>
            <w:tcW w:w="846" w:type="dxa"/>
            <w:vMerge/>
            <w:shd w:val="clear" w:color="auto" w:fill="auto"/>
          </w:tcPr>
          <w:p w14:paraId="46B111DC"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12070894" w14:textId="77777777" w:rsidR="00485E28" w:rsidRPr="001823ED" w:rsidRDefault="00485E28" w:rsidP="00981270">
            <w:pPr>
              <w:widowControl w:val="0"/>
              <w:ind w:firstLine="360"/>
              <w:jc w:val="right"/>
              <w:rPr>
                <w:i/>
                <w:sz w:val="20"/>
                <w:szCs w:val="20"/>
              </w:rPr>
            </w:pPr>
            <w:r w:rsidRPr="001823ED">
              <w:rPr>
                <w:i/>
                <w:sz w:val="20"/>
                <w:szCs w:val="20"/>
              </w:rPr>
              <w:t>Atopobium vaginae</w:t>
            </w:r>
          </w:p>
        </w:tc>
        <w:tc>
          <w:tcPr>
            <w:tcW w:w="897" w:type="dxa"/>
            <w:shd w:val="clear" w:color="auto" w:fill="auto"/>
          </w:tcPr>
          <w:p w14:paraId="32E0DF92"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77EDBAA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61E97F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EB8F650"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68CE203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6B6F749"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8" w:type="dxa"/>
            <w:shd w:val="clear" w:color="auto" w:fill="E7E6E6" w:themeFill="background2"/>
            <w:vAlign w:val="center"/>
          </w:tcPr>
          <w:p w14:paraId="7439776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5BA7442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3AEE3E7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60DE70A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095B82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1AC75E95"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r>
      <w:tr w:rsidR="005F07B5" w:rsidRPr="001823ED" w14:paraId="64141ADC" w14:textId="77777777" w:rsidTr="00981270">
        <w:trPr>
          <w:trHeight w:val="20"/>
        </w:trPr>
        <w:tc>
          <w:tcPr>
            <w:tcW w:w="846" w:type="dxa"/>
            <w:vMerge/>
            <w:shd w:val="clear" w:color="auto" w:fill="auto"/>
          </w:tcPr>
          <w:p w14:paraId="036BDE42"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5C3A4D09" w14:textId="77777777" w:rsidR="00485E28" w:rsidRPr="001823ED" w:rsidRDefault="00485E28" w:rsidP="00981270">
            <w:pPr>
              <w:widowControl w:val="0"/>
              <w:ind w:firstLine="360"/>
              <w:jc w:val="right"/>
              <w:rPr>
                <w:i/>
                <w:sz w:val="20"/>
                <w:szCs w:val="20"/>
              </w:rPr>
            </w:pPr>
            <w:r w:rsidRPr="001823ED">
              <w:rPr>
                <w:iCs/>
                <w:sz w:val="20"/>
                <w:szCs w:val="20"/>
              </w:rPr>
              <w:t>﻿</w:t>
            </w:r>
            <w:r w:rsidRPr="001823ED">
              <w:rPr>
                <w:i/>
                <w:sz w:val="20"/>
                <w:szCs w:val="20"/>
              </w:rPr>
              <w:t>Bifidobacterium ﻿breve</w:t>
            </w:r>
            <w:r w:rsidRPr="001823ED">
              <w:rPr>
                <w:iCs/>
                <w:sz w:val="20"/>
                <w:szCs w:val="20"/>
              </w:rPr>
              <w:t xml:space="preserve"> </w:t>
            </w:r>
          </w:p>
        </w:tc>
        <w:tc>
          <w:tcPr>
            <w:tcW w:w="897" w:type="dxa"/>
            <w:shd w:val="clear" w:color="auto" w:fill="D9D9D9"/>
          </w:tcPr>
          <w:p w14:paraId="43AA41EA"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75AF7A35"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7F0390A"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05C9232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FFFFFF" w:themeFill="background1"/>
            <w:vAlign w:val="center"/>
          </w:tcPr>
          <w:p w14:paraId="105665F0"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D9168B3"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c>
          <w:tcPr>
            <w:tcW w:w="898" w:type="dxa"/>
            <w:shd w:val="clear" w:color="auto" w:fill="E7E6E6" w:themeFill="background2"/>
            <w:vAlign w:val="center"/>
          </w:tcPr>
          <w:p w14:paraId="2E6A83E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4754005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7C9D593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8" w:type="dxa"/>
            <w:shd w:val="clear" w:color="auto" w:fill="E7E6E6" w:themeFill="background2"/>
            <w:vAlign w:val="center"/>
          </w:tcPr>
          <w:p w14:paraId="3B73ECB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694C232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28EE9698" w14:textId="77777777" w:rsidR="00485E28" w:rsidRPr="001823ED" w:rsidRDefault="00485E28" w:rsidP="00981270">
            <w:pPr>
              <w:widowControl w:val="0"/>
              <w:ind w:firstLine="360"/>
              <w:jc w:val="center"/>
              <w:rPr>
                <w:rFonts w:cs="Arial"/>
                <w:b/>
                <w:bCs/>
                <w:sz w:val="20"/>
                <w:szCs w:val="20"/>
                <w:shd w:val="clear" w:color="auto" w:fill="FFFFFF"/>
              </w:rPr>
            </w:pPr>
          </w:p>
        </w:tc>
      </w:tr>
      <w:tr w:rsidR="005F07B5" w:rsidRPr="001823ED" w14:paraId="519F655A" w14:textId="77777777" w:rsidTr="00981270">
        <w:trPr>
          <w:trHeight w:val="20"/>
        </w:trPr>
        <w:tc>
          <w:tcPr>
            <w:tcW w:w="846" w:type="dxa"/>
            <w:vMerge/>
            <w:shd w:val="clear" w:color="auto" w:fill="auto"/>
          </w:tcPr>
          <w:p w14:paraId="72575B5C"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1C58D8C7" w14:textId="77777777" w:rsidR="00485E28" w:rsidRPr="001823ED" w:rsidRDefault="00485E28" w:rsidP="00981270">
            <w:pPr>
              <w:widowControl w:val="0"/>
              <w:ind w:firstLine="360"/>
              <w:jc w:val="right"/>
              <w:rPr>
                <w:iCs/>
                <w:sz w:val="20"/>
                <w:szCs w:val="20"/>
              </w:rPr>
            </w:pPr>
            <w:r w:rsidRPr="001823ED">
              <w:rPr>
                <w:iCs/>
                <w:sz w:val="20"/>
                <w:szCs w:val="20"/>
              </w:rPr>
              <w:t>﻿</w:t>
            </w:r>
            <w:proofErr w:type="spellStart"/>
            <w:r w:rsidRPr="001823ED">
              <w:rPr>
                <w:i/>
                <w:sz w:val="20"/>
                <w:szCs w:val="20"/>
              </w:rPr>
              <w:t>Clostridiales</w:t>
            </w:r>
            <w:proofErr w:type="spellEnd"/>
            <w:r w:rsidRPr="001823ED">
              <w:rPr>
                <w:iCs/>
                <w:sz w:val="20"/>
                <w:szCs w:val="20"/>
              </w:rPr>
              <w:t xml:space="preserve"> BVAB2</w:t>
            </w:r>
          </w:p>
        </w:tc>
        <w:tc>
          <w:tcPr>
            <w:tcW w:w="897" w:type="dxa"/>
            <w:shd w:val="clear" w:color="auto" w:fill="auto"/>
          </w:tcPr>
          <w:p w14:paraId="1781039E"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4B74762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4DE58105"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8938843"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4EDF5E50"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A31F32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194A4C6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5261E375"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105FE9C1"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4A975A51" w14:textId="77777777" w:rsidR="00485E28" w:rsidRPr="001823ED" w:rsidRDefault="00485E28" w:rsidP="00981270">
            <w:pPr>
              <w:widowControl w:val="0"/>
              <w:ind w:firstLine="360"/>
              <w:jc w:val="center"/>
              <w:rPr>
                <w:rFonts w:cs="Calibri"/>
                <w:sz w:val="20"/>
                <w:szCs w:val="20"/>
              </w:rPr>
            </w:pPr>
          </w:p>
        </w:tc>
        <w:tc>
          <w:tcPr>
            <w:tcW w:w="898" w:type="dxa"/>
            <w:shd w:val="clear" w:color="auto" w:fill="E7E6E6" w:themeFill="background2"/>
            <w:vAlign w:val="center"/>
          </w:tcPr>
          <w:p w14:paraId="2B70C10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FA9D6BA"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r>
      <w:tr w:rsidR="005F07B5" w:rsidRPr="001823ED" w14:paraId="2FA122CF" w14:textId="77777777" w:rsidTr="00981270">
        <w:trPr>
          <w:trHeight w:val="20"/>
        </w:trPr>
        <w:tc>
          <w:tcPr>
            <w:tcW w:w="846" w:type="dxa"/>
            <w:vMerge/>
            <w:shd w:val="clear" w:color="auto" w:fill="auto"/>
          </w:tcPr>
          <w:p w14:paraId="6B0007FB"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7B3F23AA" w14:textId="77777777" w:rsidR="00485E28" w:rsidRPr="001823ED" w:rsidRDefault="00485E28" w:rsidP="00981270">
            <w:pPr>
              <w:widowControl w:val="0"/>
              <w:ind w:firstLine="360"/>
              <w:jc w:val="right"/>
              <w:rPr>
                <w:iCs/>
                <w:sz w:val="20"/>
                <w:szCs w:val="20"/>
              </w:rPr>
            </w:pPr>
            <w:r w:rsidRPr="001823ED">
              <w:rPr>
                <w:rFonts w:cs="Calibri"/>
                <w:i/>
                <w:iCs/>
                <w:sz w:val="20"/>
                <w:szCs w:val="20"/>
              </w:rPr>
              <w:t>﻿</w:t>
            </w:r>
            <w:proofErr w:type="spellStart"/>
            <w:r w:rsidRPr="001823ED">
              <w:rPr>
                <w:rFonts w:cs="Calibri"/>
                <w:i/>
                <w:iCs/>
                <w:sz w:val="20"/>
                <w:szCs w:val="20"/>
              </w:rPr>
              <w:t>Dialister</w:t>
            </w:r>
            <w:proofErr w:type="spellEnd"/>
          </w:p>
        </w:tc>
        <w:tc>
          <w:tcPr>
            <w:tcW w:w="897" w:type="dxa"/>
            <w:shd w:val="clear" w:color="auto" w:fill="auto"/>
          </w:tcPr>
          <w:p w14:paraId="404817C9"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28C54A92"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3CA80A2"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7AB5862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FFFFFF" w:themeFill="background1"/>
            <w:vAlign w:val="center"/>
          </w:tcPr>
          <w:p w14:paraId="20E8E5C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1C2F78E"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4F9FBF4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E79E594"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E7E6E6" w:themeFill="background2"/>
            <w:vAlign w:val="center"/>
          </w:tcPr>
          <w:p w14:paraId="65692FF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F62D2DB"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5D3FDC2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5ED674E"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r>
      <w:tr w:rsidR="005F07B5" w:rsidRPr="001823ED" w14:paraId="5BB5B292" w14:textId="77777777" w:rsidTr="00981270">
        <w:trPr>
          <w:trHeight w:val="20"/>
        </w:trPr>
        <w:tc>
          <w:tcPr>
            <w:tcW w:w="846" w:type="dxa"/>
            <w:vMerge/>
            <w:shd w:val="clear" w:color="auto" w:fill="auto"/>
          </w:tcPr>
          <w:p w14:paraId="53C12242"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334C2D9F" w14:textId="77777777" w:rsidR="00485E28" w:rsidRPr="001823ED" w:rsidRDefault="00485E28" w:rsidP="00981270">
            <w:pPr>
              <w:widowControl w:val="0"/>
              <w:ind w:firstLine="360"/>
              <w:jc w:val="right"/>
              <w:rPr>
                <w:iCs/>
                <w:sz w:val="20"/>
                <w:szCs w:val="20"/>
              </w:rPr>
            </w:pPr>
            <w:r w:rsidRPr="001823ED">
              <w:rPr>
                <w:rFonts w:cs="Calibri"/>
                <w:i/>
                <w:iCs/>
                <w:sz w:val="20"/>
                <w:szCs w:val="20"/>
              </w:rPr>
              <w:t xml:space="preserve">﻿Gardnerella vaginalis </w:t>
            </w:r>
          </w:p>
        </w:tc>
        <w:tc>
          <w:tcPr>
            <w:tcW w:w="897" w:type="dxa"/>
            <w:shd w:val="clear" w:color="auto" w:fill="auto"/>
          </w:tcPr>
          <w:p w14:paraId="0C7EF8F8"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E21EB27"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764725AF"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27DA7C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FFFFFF" w:themeFill="background1"/>
            <w:vAlign w:val="center"/>
          </w:tcPr>
          <w:p w14:paraId="499A6B3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40FE25D"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306BEB4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72D759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auto"/>
            <w:vAlign w:val="center"/>
          </w:tcPr>
          <w:p w14:paraId="6605965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F65A26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91453F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BE5D8AA"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r>
      <w:tr w:rsidR="005F07B5" w:rsidRPr="001823ED" w14:paraId="712B9869" w14:textId="77777777" w:rsidTr="00981270">
        <w:trPr>
          <w:trHeight w:val="20"/>
        </w:trPr>
        <w:tc>
          <w:tcPr>
            <w:tcW w:w="846" w:type="dxa"/>
            <w:vMerge/>
            <w:shd w:val="clear" w:color="auto" w:fill="auto"/>
          </w:tcPr>
          <w:p w14:paraId="64906972"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132A3586" w14:textId="77777777" w:rsidR="00485E28" w:rsidRPr="001823ED" w:rsidRDefault="00485E28" w:rsidP="00981270">
            <w:pPr>
              <w:widowControl w:val="0"/>
              <w:ind w:firstLine="360"/>
              <w:jc w:val="right"/>
              <w:rPr>
                <w:iCs/>
                <w:sz w:val="20"/>
                <w:szCs w:val="20"/>
              </w:rPr>
            </w:pPr>
            <w:r w:rsidRPr="001823ED">
              <w:rPr>
                <w:iCs/>
                <w:sz w:val="20"/>
                <w:szCs w:val="20"/>
              </w:rPr>
              <w:t>﻿</w:t>
            </w:r>
            <w:proofErr w:type="spellStart"/>
            <w:r w:rsidRPr="001823ED">
              <w:rPr>
                <w:i/>
                <w:sz w:val="20"/>
                <w:szCs w:val="20"/>
              </w:rPr>
              <w:t>Lachnospiracea</w:t>
            </w:r>
            <w:proofErr w:type="spellEnd"/>
            <w:r w:rsidRPr="001823ED">
              <w:rPr>
                <w:iCs/>
                <w:sz w:val="20"/>
                <w:szCs w:val="20"/>
              </w:rPr>
              <w:t xml:space="preserve"> BVAB1</w:t>
            </w:r>
          </w:p>
        </w:tc>
        <w:tc>
          <w:tcPr>
            <w:tcW w:w="897" w:type="dxa"/>
            <w:shd w:val="clear" w:color="auto" w:fill="auto"/>
          </w:tcPr>
          <w:p w14:paraId="555419DD"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1671185E"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BC082E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36A8698"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58BA7BA4"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0526175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21598F5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03DCBB53"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460B13E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20759F6" w14:textId="77777777" w:rsidR="00485E28" w:rsidRPr="001823ED" w:rsidRDefault="00485E28" w:rsidP="00981270">
            <w:pPr>
              <w:widowControl w:val="0"/>
              <w:ind w:firstLine="360"/>
              <w:jc w:val="center"/>
              <w:rPr>
                <w:rFonts w:cs="Calibri"/>
                <w:sz w:val="20"/>
                <w:szCs w:val="20"/>
              </w:rPr>
            </w:pPr>
          </w:p>
        </w:tc>
        <w:tc>
          <w:tcPr>
            <w:tcW w:w="898" w:type="dxa"/>
            <w:shd w:val="clear" w:color="auto" w:fill="E7E6E6" w:themeFill="background2"/>
            <w:vAlign w:val="center"/>
          </w:tcPr>
          <w:p w14:paraId="5F13126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9B6B430"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r>
      <w:tr w:rsidR="005F07B5" w:rsidRPr="001823ED" w14:paraId="37ED0A76" w14:textId="77777777" w:rsidTr="00981270">
        <w:trPr>
          <w:trHeight w:val="20"/>
        </w:trPr>
        <w:tc>
          <w:tcPr>
            <w:tcW w:w="846" w:type="dxa"/>
            <w:vMerge/>
            <w:shd w:val="clear" w:color="auto" w:fill="auto"/>
          </w:tcPr>
          <w:p w14:paraId="3082E177"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28106CAC" w14:textId="77777777" w:rsidR="00485E28" w:rsidRPr="001823ED" w:rsidRDefault="00485E28" w:rsidP="00981270">
            <w:pPr>
              <w:widowControl w:val="0"/>
              <w:ind w:firstLine="360"/>
              <w:jc w:val="right"/>
              <w:rPr>
                <w:iCs/>
                <w:sz w:val="20"/>
                <w:szCs w:val="20"/>
              </w:rPr>
            </w:pPr>
            <w:proofErr w:type="spellStart"/>
            <w:r w:rsidRPr="001823ED">
              <w:rPr>
                <w:i/>
                <w:sz w:val="20"/>
                <w:szCs w:val="20"/>
              </w:rPr>
              <w:t>Mageeibacillus</w:t>
            </w:r>
            <w:proofErr w:type="spellEnd"/>
            <w:r w:rsidRPr="001823ED">
              <w:rPr>
                <w:i/>
                <w:sz w:val="20"/>
                <w:szCs w:val="20"/>
              </w:rPr>
              <w:t xml:space="preserve"> </w:t>
            </w:r>
            <w:proofErr w:type="spellStart"/>
            <w:r w:rsidRPr="001823ED">
              <w:rPr>
                <w:i/>
                <w:sz w:val="20"/>
                <w:szCs w:val="20"/>
              </w:rPr>
              <w:t>indolicus</w:t>
            </w:r>
            <w:proofErr w:type="spellEnd"/>
          </w:p>
        </w:tc>
        <w:tc>
          <w:tcPr>
            <w:tcW w:w="897" w:type="dxa"/>
            <w:shd w:val="clear" w:color="auto" w:fill="D9D9D9"/>
          </w:tcPr>
          <w:p w14:paraId="1925BF2E"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58240021"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825E992"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17E8258"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4D5B50FF"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433F171C"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6666A2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2036A56"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581304A3"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CA5BF2D"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DA409A6"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0912F927" w14:textId="77777777" w:rsidR="00485E28" w:rsidRPr="001823ED" w:rsidRDefault="00485E28" w:rsidP="00981270">
            <w:pPr>
              <w:widowControl w:val="0"/>
              <w:ind w:firstLine="360"/>
              <w:jc w:val="center"/>
              <w:rPr>
                <w:rFonts w:cs="Arial"/>
                <w:b/>
                <w:bCs/>
                <w:sz w:val="20"/>
                <w:szCs w:val="20"/>
                <w:shd w:val="clear" w:color="auto" w:fill="FFFFFF"/>
              </w:rPr>
            </w:pPr>
          </w:p>
        </w:tc>
      </w:tr>
      <w:tr w:rsidR="005F07B5" w:rsidRPr="001823ED" w14:paraId="3921DB47" w14:textId="77777777" w:rsidTr="00981270">
        <w:trPr>
          <w:trHeight w:val="20"/>
        </w:trPr>
        <w:tc>
          <w:tcPr>
            <w:tcW w:w="846" w:type="dxa"/>
            <w:vMerge/>
            <w:shd w:val="clear" w:color="auto" w:fill="auto"/>
          </w:tcPr>
          <w:p w14:paraId="1BB71AAD"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5A870F1A" w14:textId="77777777" w:rsidR="00485E28" w:rsidRPr="001823ED" w:rsidRDefault="00485E28" w:rsidP="00981270">
            <w:pPr>
              <w:widowControl w:val="0"/>
              <w:ind w:firstLine="360"/>
              <w:jc w:val="right"/>
              <w:rPr>
                <w:iCs/>
                <w:sz w:val="20"/>
                <w:szCs w:val="20"/>
              </w:rPr>
            </w:pPr>
            <w:r w:rsidRPr="001823ED">
              <w:rPr>
                <w:i/>
                <w:sz w:val="20"/>
                <w:szCs w:val="20"/>
              </w:rPr>
              <w:t>﻿Megasphaera</w:t>
            </w:r>
          </w:p>
        </w:tc>
        <w:tc>
          <w:tcPr>
            <w:tcW w:w="897" w:type="dxa"/>
            <w:shd w:val="clear" w:color="auto" w:fill="auto"/>
          </w:tcPr>
          <w:p w14:paraId="0A5B3164"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67826DBE"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1B8F681"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7FD57C9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D9D9D9"/>
            <w:vAlign w:val="center"/>
          </w:tcPr>
          <w:p w14:paraId="3C19A2DE"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3E89FBC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E8D1F6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6FA2336"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E7E6E6" w:themeFill="background2"/>
            <w:vAlign w:val="center"/>
          </w:tcPr>
          <w:p w14:paraId="152586F7"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5BB77BF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91C4C9D"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3DB3E340"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r>
      <w:tr w:rsidR="005F07B5" w:rsidRPr="001823ED" w14:paraId="40889AEA" w14:textId="77777777" w:rsidTr="00981270">
        <w:trPr>
          <w:trHeight w:val="20"/>
        </w:trPr>
        <w:tc>
          <w:tcPr>
            <w:tcW w:w="846" w:type="dxa"/>
            <w:vMerge/>
            <w:shd w:val="clear" w:color="auto" w:fill="auto"/>
          </w:tcPr>
          <w:p w14:paraId="62E60224"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2CED06A1" w14:textId="77777777" w:rsidR="00485E28" w:rsidRPr="001823ED" w:rsidRDefault="00485E28" w:rsidP="00981270">
            <w:pPr>
              <w:widowControl w:val="0"/>
              <w:ind w:firstLine="360"/>
              <w:jc w:val="right"/>
              <w:rPr>
                <w:iCs/>
                <w:sz w:val="20"/>
                <w:szCs w:val="20"/>
              </w:rPr>
            </w:pPr>
            <w:proofErr w:type="spellStart"/>
            <w:r w:rsidRPr="001823ED">
              <w:rPr>
                <w:i/>
                <w:sz w:val="20"/>
                <w:szCs w:val="20"/>
              </w:rPr>
              <w:t>Mobiluncus</w:t>
            </w:r>
            <w:proofErr w:type="spellEnd"/>
          </w:p>
        </w:tc>
        <w:tc>
          <w:tcPr>
            <w:tcW w:w="897" w:type="dxa"/>
            <w:shd w:val="clear" w:color="auto" w:fill="D9D9D9"/>
          </w:tcPr>
          <w:p w14:paraId="1C242961"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32542E61"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284054B"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DCC0813" w14:textId="77777777" w:rsidR="00485E28" w:rsidRPr="001823ED" w:rsidRDefault="00485E28" w:rsidP="00981270">
            <w:pPr>
              <w:widowControl w:val="0"/>
              <w:ind w:firstLine="360"/>
              <w:jc w:val="center"/>
              <w:rPr>
                <w:rFonts w:cs="Calibri"/>
                <w:sz w:val="20"/>
                <w:szCs w:val="20"/>
              </w:rPr>
            </w:pPr>
          </w:p>
        </w:tc>
        <w:tc>
          <w:tcPr>
            <w:tcW w:w="897" w:type="dxa"/>
            <w:shd w:val="clear" w:color="auto" w:fill="FFFFFF" w:themeFill="background1"/>
            <w:vAlign w:val="center"/>
          </w:tcPr>
          <w:p w14:paraId="175ECE7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B22A389"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6AE89A7B"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87B471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2C63E2B4"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EFCCBAA"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131DFC0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005B102F" w14:textId="77777777" w:rsidR="00485E28" w:rsidRPr="001823ED" w:rsidRDefault="00485E28" w:rsidP="00981270">
            <w:pPr>
              <w:widowControl w:val="0"/>
              <w:ind w:firstLine="360"/>
              <w:jc w:val="center"/>
              <w:rPr>
                <w:rFonts w:cs="Arial"/>
                <w:b/>
                <w:bCs/>
                <w:sz w:val="20"/>
                <w:szCs w:val="20"/>
                <w:shd w:val="clear" w:color="auto" w:fill="FFFFFF"/>
              </w:rPr>
            </w:pPr>
          </w:p>
        </w:tc>
      </w:tr>
      <w:tr w:rsidR="005F07B5" w:rsidRPr="001823ED" w14:paraId="18986154" w14:textId="77777777" w:rsidTr="00981270">
        <w:trPr>
          <w:trHeight w:val="20"/>
        </w:trPr>
        <w:tc>
          <w:tcPr>
            <w:tcW w:w="846" w:type="dxa"/>
            <w:vMerge/>
            <w:shd w:val="clear" w:color="auto" w:fill="auto"/>
          </w:tcPr>
          <w:p w14:paraId="53ABD38E"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01DFE0EE" w14:textId="77777777" w:rsidR="00485E28" w:rsidRPr="001823ED" w:rsidRDefault="00485E28" w:rsidP="00981270">
            <w:pPr>
              <w:widowControl w:val="0"/>
              <w:ind w:firstLine="360"/>
              <w:jc w:val="right"/>
              <w:rPr>
                <w:iCs/>
                <w:sz w:val="20"/>
                <w:szCs w:val="20"/>
              </w:rPr>
            </w:pPr>
            <w:r w:rsidRPr="001823ED">
              <w:rPr>
                <w:rFonts w:cs="Calibri"/>
                <w:i/>
                <w:iCs/>
                <w:sz w:val="20"/>
                <w:szCs w:val="20"/>
              </w:rPr>
              <w:t>Mycoplasma</w:t>
            </w:r>
          </w:p>
        </w:tc>
        <w:tc>
          <w:tcPr>
            <w:tcW w:w="897" w:type="dxa"/>
            <w:shd w:val="clear" w:color="auto" w:fill="D9D9D9"/>
          </w:tcPr>
          <w:p w14:paraId="04C4C4FC"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0BC5A5B5"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872D70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28B000AA" w14:textId="77777777" w:rsidR="00485E28" w:rsidRPr="001823ED" w:rsidRDefault="00485E28" w:rsidP="00981270">
            <w:pPr>
              <w:widowControl w:val="0"/>
              <w:ind w:firstLine="360"/>
              <w:jc w:val="center"/>
              <w:rPr>
                <w:rFonts w:cs="Calibri"/>
                <w:sz w:val="20"/>
                <w:szCs w:val="20"/>
              </w:rPr>
            </w:pPr>
          </w:p>
        </w:tc>
        <w:tc>
          <w:tcPr>
            <w:tcW w:w="897" w:type="dxa"/>
            <w:shd w:val="clear" w:color="auto" w:fill="FFFFFF" w:themeFill="background1"/>
            <w:vAlign w:val="center"/>
          </w:tcPr>
          <w:p w14:paraId="0316338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5C39D9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3C821BCD"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667165C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275B27F7"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F18F4F0"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B797C9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6EADB226"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r>
      <w:tr w:rsidR="005F07B5" w:rsidRPr="001823ED" w14:paraId="7656A3A5" w14:textId="77777777" w:rsidTr="00981270">
        <w:trPr>
          <w:trHeight w:val="20"/>
        </w:trPr>
        <w:tc>
          <w:tcPr>
            <w:tcW w:w="846" w:type="dxa"/>
            <w:vMerge/>
            <w:shd w:val="clear" w:color="auto" w:fill="auto"/>
          </w:tcPr>
          <w:p w14:paraId="28DAA15E"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666D626C" w14:textId="77777777" w:rsidR="00485E28" w:rsidRPr="001823ED" w:rsidRDefault="00485E28" w:rsidP="00981270">
            <w:pPr>
              <w:widowControl w:val="0"/>
              <w:ind w:firstLine="360"/>
              <w:jc w:val="right"/>
              <w:rPr>
                <w:rFonts w:cs="Calibri"/>
                <w:i/>
                <w:iCs/>
                <w:sz w:val="20"/>
                <w:szCs w:val="20"/>
              </w:rPr>
            </w:pPr>
            <w:r w:rsidRPr="001823ED">
              <w:rPr>
                <w:iCs/>
                <w:sz w:val="20"/>
                <w:szCs w:val="20"/>
              </w:rPr>
              <w:t>﻿</w:t>
            </w:r>
            <w:proofErr w:type="spellStart"/>
            <w:r w:rsidRPr="001823ED">
              <w:rPr>
                <w:i/>
                <w:sz w:val="20"/>
                <w:szCs w:val="20"/>
              </w:rPr>
              <w:t>Parvimonas</w:t>
            </w:r>
            <w:proofErr w:type="spellEnd"/>
          </w:p>
        </w:tc>
        <w:tc>
          <w:tcPr>
            <w:tcW w:w="897" w:type="dxa"/>
            <w:shd w:val="clear" w:color="auto" w:fill="auto"/>
          </w:tcPr>
          <w:p w14:paraId="0D65A9D2"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103095F0"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2F4D7F4"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760D753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FFFFFF" w:themeFill="background1"/>
            <w:vAlign w:val="center"/>
          </w:tcPr>
          <w:p w14:paraId="7D56CD6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06136741" w14:textId="77777777" w:rsidR="00485E28" w:rsidRPr="001823ED" w:rsidRDefault="00485E28" w:rsidP="00981270">
            <w:pPr>
              <w:widowControl w:val="0"/>
              <w:ind w:firstLine="360"/>
              <w:jc w:val="center"/>
              <w:rPr>
                <w:rFonts w:cs="Arial"/>
                <w:b/>
                <w:bCs/>
                <w:sz w:val="20"/>
                <w:szCs w:val="20"/>
                <w:shd w:val="clear" w:color="auto" w:fill="FFFFFF"/>
              </w:rPr>
            </w:pPr>
          </w:p>
        </w:tc>
        <w:tc>
          <w:tcPr>
            <w:tcW w:w="898" w:type="dxa"/>
            <w:shd w:val="clear" w:color="auto" w:fill="auto"/>
            <w:vAlign w:val="center"/>
          </w:tcPr>
          <w:p w14:paraId="316CD2F3"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6E57FCE"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7" w:type="dxa"/>
            <w:shd w:val="clear" w:color="auto" w:fill="D9D9D9"/>
            <w:vAlign w:val="center"/>
          </w:tcPr>
          <w:p w14:paraId="1D64DF46"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41D64750"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547A9B75"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7EAAB7B5"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r>
      <w:tr w:rsidR="005F07B5" w:rsidRPr="001823ED" w14:paraId="6DB6677B" w14:textId="77777777" w:rsidTr="00981270">
        <w:trPr>
          <w:trHeight w:val="20"/>
        </w:trPr>
        <w:tc>
          <w:tcPr>
            <w:tcW w:w="846" w:type="dxa"/>
            <w:vMerge/>
            <w:shd w:val="clear" w:color="auto" w:fill="auto"/>
          </w:tcPr>
          <w:p w14:paraId="74D0EBBF"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0DF0F381" w14:textId="77777777" w:rsidR="00485E28" w:rsidRPr="001823ED" w:rsidRDefault="00485E28" w:rsidP="00981270">
            <w:pPr>
              <w:widowControl w:val="0"/>
              <w:ind w:firstLine="360"/>
              <w:jc w:val="right"/>
              <w:rPr>
                <w:rFonts w:cs="Calibri"/>
                <w:i/>
                <w:iCs/>
                <w:sz w:val="20"/>
                <w:szCs w:val="20"/>
              </w:rPr>
            </w:pPr>
            <w:proofErr w:type="spellStart"/>
            <w:r w:rsidRPr="001823ED">
              <w:rPr>
                <w:i/>
                <w:sz w:val="20"/>
                <w:szCs w:val="20"/>
              </w:rPr>
              <w:t>Peptoniphilus</w:t>
            </w:r>
            <w:proofErr w:type="spellEnd"/>
          </w:p>
        </w:tc>
        <w:tc>
          <w:tcPr>
            <w:tcW w:w="897" w:type="dxa"/>
            <w:shd w:val="clear" w:color="auto" w:fill="D9D9D9"/>
          </w:tcPr>
          <w:p w14:paraId="6FBA4BBD"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58F8947C"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3653894"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D38764E" w14:textId="77777777" w:rsidR="00485E28" w:rsidRPr="001823ED" w:rsidRDefault="00485E28" w:rsidP="00981270">
            <w:pPr>
              <w:widowControl w:val="0"/>
              <w:ind w:firstLine="360"/>
              <w:jc w:val="center"/>
              <w:rPr>
                <w:rFonts w:cs="Calibri"/>
                <w:sz w:val="20"/>
                <w:szCs w:val="20"/>
              </w:rPr>
            </w:pPr>
          </w:p>
        </w:tc>
        <w:tc>
          <w:tcPr>
            <w:tcW w:w="897" w:type="dxa"/>
            <w:shd w:val="clear" w:color="auto" w:fill="FFFFFF" w:themeFill="background1"/>
            <w:vAlign w:val="center"/>
          </w:tcPr>
          <w:p w14:paraId="2A1F87C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6A96186"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8" w:type="dxa"/>
            <w:shd w:val="clear" w:color="auto" w:fill="auto"/>
            <w:vAlign w:val="center"/>
          </w:tcPr>
          <w:p w14:paraId="7B0EFEEF"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9570BF1"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7" w:type="dxa"/>
            <w:shd w:val="clear" w:color="auto" w:fill="E7E6E6" w:themeFill="background2"/>
            <w:vAlign w:val="center"/>
          </w:tcPr>
          <w:p w14:paraId="6B71CC6D"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7BC746D"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63CB32C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056779C0" w14:textId="77777777" w:rsidR="00485E28" w:rsidRPr="001823ED" w:rsidRDefault="00485E28" w:rsidP="00981270">
            <w:pPr>
              <w:widowControl w:val="0"/>
              <w:ind w:firstLine="360"/>
              <w:jc w:val="center"/>
              <w:rPr>
                <w:rFonts w:cs="Calibri"/>
                <w:sz w:val="20"/>
                <w:szCs w:val="20"/>
              </w:rPr>
            </w:pPr>
          </w:p>
        </w:tc>
      </w:tr>
      <w:tr w:rsidR="005F07B5" w:rsidRPr="001823ED" w14:paraId="6E385C06" w14:textId="77777777" w:rsidTr="00981270">
        <w:trPr>
          <w:trHeight w:val="20"/>
        </w:trPr>
        <w:tc>
          <w:tcPr>
            <w:tcW w:w="846" w:type="dxa"/>
            <w:vMerge/>
            <w:shd w:val="clear" w:color="auto" w:fill="auto"/>
          </w:tcPr>
          <w:p w14:paraId="09ACC463"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43F6B041"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w:t>
            </w:r>
            <w:proofErr w:type="spellStart"/>
            <w:r w:rsidRPr="001823ED">
              <w:rPr>
                <w:rFonts w:cs="Calibri"/>
                <w:i/>
                <w:iCs/>
                <w:sz w:val="20"/>
                <w:szCs w:val="20"/>
              </w:rPr>
              <w:t>Prevotella</w:t>
            </w:r>
            <w:proofErr w:type="spellEnd"/>
          </w:p>
        </w:tc>
        <w:tc>
          <w:tcPr>
            <w:tcW w:w="897" w:type="dxa"/>
            <w:shd w:val="clear" w:color="auto" w:fill="auto"/>
          </w:tcPr>
          <w:p w14:paraId="69D4807B"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1851EAD8"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9AB131F"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3095E02"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7" w:type="dxa"/>
            <w:shd w:val="clear" w:color="auto" w:fill="auto"/>
            <w:vAlign w:val="center"/>
          </w:tcPr>
          <w:p w14:paraId="2968531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2483D19"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485CB436"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77A4413"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vAlign w:val="center"/>
          </w:tcPr>
          <w:p w14:paraId="1892592F"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4174101A"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1C9A9FD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72F2F89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r>
      <w:tr w:rsidR="005F07B5" w:rsidRPr="001823ED" w14:paraId="5B1D2BE4" w14:textId="77777777" w:rsidTr="00981270">
        <w:trPr>
          <w:trHeight w:val="20"/>
        </w:trPr>
        <w:tc>
          <w:tcPr>
            <w:tcW w:w="846" w:type="dxa"/>
            <w:vMerge/>
            <w:shd w:val="clear" w:color="auto" w:fill="auto"/>
          </w:tcPr>
          <w:p w14:paraId="032F4CFE"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48A954A9" w14:textId="77777777" w:rsidR="00485E28" w:rsidRPr="001823ED" w:rsidRDefault="00485E28" w:rsidP="00981270">
            <w:pPr>
              <w:widowControl w:val="0"/>
              <w:ind w:firstLine="360"/>
              <w:jc w:val="right"/>
              <w:rPr>
                <w:rFonts w:cs="Calibri"/>
                <w:i/>
                <w:iCs/>
                <w:sz w:val="20"/>
                <w:szCs w:val="20"/>
              </w:rPr>
            </w:pPr>
            <w:r w:rsidRPr="001823ED">
              <w:rPr>
                <w:iCs/>
                <w:sz w:val="20"/>
                <w:szCs w:val="20"/>
              </w:rPr>
              <w:t>﻿</w:t>
            </w:r>
            <w:proofErr w:type="spellStart"/>
            <w:r w:rsidRPr="001823ED">
              <w:rPr>
                <w:i/>
                <w:sz w:val="20"/>
                <w:szCs w:val="20"/>
              </w:rPr>
              <w:t>Porphyromonas</w:t>
            </w:r>
            <w:proofErr w:type="spellEnd"/>
            <w:r w:rsidRPr="001823ED">
              <w:rPr>
                <w:iCs/>
                <w:sz w:val="20"/>
                <w:szCs w:val="20"/>
              </w:rPr>
              <w:t xml:space="preserve"> species</w:t>
            </w:r>
          </w:p>
        </w:tc>
        <w:tc>
          <w:tcPr>
            <w:tcW w:w="897" w:type="dxa"/>
            <w:shd w:val="clear" w:color="auto" w:fill="D9D9D9"/>
          </w:tcPr>
          <w:p w14:paraId="2321AD91" w14:textId="77777777" w:rsidR="00485E28" w:rsidRPr="001823ED" w:rsidRDefault="00485E28" w:rsidP="00981270">
            <w:pPr>
              <w:widowControl w:val="0"/>
              <w:ind w:right="-104" w:firstLine="360"/>
              <w:jc w:val="center"/>
              <w:rPr>
                <w:rFonts w:cs="Calibri"/>
                <w:sz w:val="20"/>
                <w:szCs w:val="20"/>
              </w:rPr>
            </w:pPr>
          </w:p>
        </w:tc>
        <w:tc>
          <w:tcPr>
            <w:tcW w:w="898" w:type="dxa"/>
            <w:shd w:val="clear" w:color="auto" w:fill="D9D9D9"/>
            <w:vAlign w:val="center"/>
          </w:tcPr>
          <w:p w14:paraId="5E0C59CF"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ADE34A4"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5996344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D9D9D9"/>
            <w:vAlign w:val="center"/>
          </w:tcPr>
          <w:p w14:paraId="726019D9"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6BCC916A"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1F38BD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7479197"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2FA91E54"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5FD5981"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35F6D4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5EF0E8BB" w14:textId="77777777" w:rsidR="00485E28" w:rsidRPr="001823ED" w:rsidRDefault="00485E28" w:rsidP="00981270">
            <w:pPr>
              <w:widowControl w:val="0"/>
              <w:ind w:firstLine="360"/>
              <w:jc w:val="center"/>
              <w:rPr>
                <w:rFonts w:cs="Calibri"/>
                <w:sz w:val="20"/>
                <w:szCs w:val="20"/>
              </w:rPr>
            </w:pPr>
          </w:p>
        </w:tc>
      </w:tr>
      <w:tr w:rsidR="005F07B5" w:rsidRPr="001823ED" w14:paraId="43DAF962" w14:textId="77777777" w:rsidTr="00981270">
        <w:trPr>
          <w:trHeight w:val="20"/>
        </w:trPr>
        <w:tc>
          <w:tcPr>
            <w:tcW w:w="846" w:type="dxa"/>
            <w:vMerge/>
            <w:shd w:val="clear" w:color="auto" w:fill="auto"/>
          </w:tcPr>
          <w:p w14:paraId="0929C17E"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21F0B553" w14:textId="77777777" w:rsidR="00485E28" w:rsidRPr="001823ED" w:rsidRDefault="00485E28" w:rsidP="00981270">
            <w:pPr>
              <w:widowControl w:val="0"/>
              <w:ind w:firstLine="360"/>
              <w:jc w:val="right"/>
              <w:rPr>
                <w:rFonts w:cs="Calibri"/>
                <w:sz w:val="20"/>
                <w:szCs w:val="20"/>
              </w:rPr>
            </w:pPr>
            <w:r w:rsidRPr="001823ED">
              <w:rPr>
                <w:rFonts w:cs="Calibri"/>
                <w:i/>
                <w:iCs/>
                <w:sz w:val="20"/>
                <w:szCs w:val="20"/>
              </w:rPr>
              <w:t>﻿</w:t>
            </w:r>
            <w:proofErr w:type="spellStart"/>
            <w:r w:rsidRPr="001823ED">
              <w:rPr>
                <w:rFonts w:cs="Calibri"/>
                <w:i/>
                <w:iCs/>
                <w:sz w:val="20"/>
                <w:szCs w:val="20"/>
              </w:rPr>
              <w:t>Sneathia</w:t>
            </w:r>
            <w:proofErr w:type="spellEnd"/>
            <w:r w:rsidRPr="001823ED">
              <w:rPr>
                <w:rFonts w:cs="Calibri"/>
                <w:i/>
                <w:iCs/>
                <w:sz w:val="20"/>
                <w:szCs w:val="20"/>
              </w:rPr>
              <w:t xml:space="preserve"> </w:t>
            </w:r>
            <w:r w:rsidRPr="001823ED">
              <w:rPr>
                <w:rFonts w:cs="Calibri"/>
                <w:sz w:val="20"/>
                <w:szCs w:val="20"/>
              </w:rPr>
              <w:t>species</w:t>
            </w:r>
          </w:p>
        </w:tc>
        <w:tc>
          <w:tcPr>
            <w:tcW w:w="897" w:type="dxa"/>
            <w:shd w:val="clear" w:color="auto" w:fill="auto"/>
          </w:tcPr>
          <w:p w14:paraId="2A68ED9F"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1670B6A5"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D1B8F29"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550131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AF"/>
            </w:r>
          </w:p>
        </w:tc>
        <w:tc>
          <w:tcPr>
            <w:tcW w:w="897" w:type="dxa"/>
            <w:shd w:val="clear" w:color="auto" w:fill="FFFFFF" w:themeFill="background1"/>
            <w:vAlign w:val="center"/>
          </w:tcPr>
          <w:p w14:paraId="0BF8B16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EBB36D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4F333E8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7BF1AC62"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016F1D6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EC8686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095A7C7C"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vAlign w:val="center"/>
          </w:tcPr>
          <w:p w14:paraId="6F665515"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r>
      <w:tr w:rsidR="005F07B5" w:rsidRPr="001823ED" w14:paraId="50C676B9" w14:textId="77777777" w:rsidTr="00981270">
        <w:trPr>
          <w:trHeight w:val="20"/>
        </w:trPr>
        <w:tc>
          <w:tcPr>
            <w:tcW w:w="846" w:type="dxa"/>
            <w:vMerge/>
            <w:shd w:val="clear" w:color="auto" w:fill="auto"/>
          </w:tcPr>
          <w:p w14:paraId="429DF24D"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40655BAC" w14:textId="77777777" w:rsidR="00485E28" w:rsidRPr="001823ED" w:rsidRDefault="00485E28" w:rsidP="00981270">
            <w:pPr>
              <w:widowControl w:val="0"/>
              <w:ind w:firstLine="360"/>
              <w:jc w:val="right"/>
              <w:rPr>
                <w:rFonts w:cs="Calibri"/>
                <w:i/>
                <w:iCs/>
                <w:sz w:val="20"/>
                <w:szCs w:val="20"/>
              </w:rPr>
            </w:pPr>
            <w:r w:rsidRPr="001823ED">
              <w:rPr>
                <w:i/>
                <w:sz w:val="20"/>
                <w:szCs w:val="20"/>
              </w:rPr>
              <w:t>Streptococcus</w:t>
            </w:r>
            <w:r w:rsidRPr="001823ED">
              <w:rPr>
                <w:iCs/>
                <w:sz w:val="20"/>
                <w:szCs w:val="20"/>
              </w:rPr>
              <w:t xml:space="preserve"> species</w:t>
            </w:r>
          </w:p>
        </w:tc>
        <w:tc>
          <w:tcPr>
            <w:tcW w:w="897" w:type="dxa"/>
            <w:shd w:val="clear" w:color="auto" w:fill="auto"/>
          </w:tcPr>
          <w:p w14:paraId="0B7ABE50"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7EE3BAF5"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0188362E"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19328D9"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7" w:type="dxa"/>
            <w:shd w:val="clear" w:color="auto" w:fill="FFFFFF" w:themeFill="background1"/>
            <w:vAlign w:val="center"/>
          </w:tcPr>
          <w:p w14:paraId="6592F82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5245F37D"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609AD2A8"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E90657A"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E7E6E6" w:themeFill="background2"/>
            <w:vAlign w:val="center"/>
          </w:tcPr>
          <w:p w14:paraId="7491C91E"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7DD6EE6"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E7E6E6" w:themeFill="background2"/>
            <w:vAlign w:val="center"/>
          </w:tcPr>
          <w:p w14:paraId="24F42FB8"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c>
          <w:tcPr>
            <w:tcW w:w="898" w:type="dxa"/>
            <w:shd w:val="clear" w:color="auto" w:fill="auto"/>
            <w:vAlign w:val="center"/>
          </w:tcPr>
          <w:p w14:paraId="46D7683B" w14:textId="77777777" w:rsidR="00485E28" w:rsidRPr="001823ED" w:rsidRDefault="00485E28" w:rsidP="00981270">
            <w:pPr>
              <w:widowControl w:val="0"/>
              <w:jc w:val="center"/>
              <w:rPr>
                <w:rFonts w:cs="Arial"/>
                <w:b/>
                <w:bCs/>
                <w:sz w:val="20"/>
                <w:szCs w:val="20"/>
                <w:shd w:val="clear" w:color="auto" w:fill="FFFFFF"/>
              </w:rPr>
            </w:pPr>
            <w:r w:rsidRPr="001823ED">
              <w:rPr>
                <w:rFonts w:cs="Calibri"/>
                <w:sz w:val="20"/>
                <w:szCs w:val="20"/>
              </w:rPr>
              <w:sym w:font="Symbol" w:char="F0DB"/>
            </w:r>
          </w:p>
        </w:tc>
      </w:tr>
      <w:tr w:rsidR="005F07B5" w:rsidRPr="001823ED" w14:paraId="5B65DAF0" w14:textId="77777777" w:rsidTr="00981270">
        <w:trPr>
          <w:trHeight w:val="20"/>
        </w:trPr>
        <w:tc>
          <w:tcPr>
            <w:tcW w:w="846" w:type="dxa"/>
            <w:vMerge/>
            <w:shd w:val="clear" w:color="auto" w:fill="auto"/>
          </w:tcPr>
          <w:p w14:paraId="68C5887F"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7D12628C" w14:textId="77777777" w:rsidR="00485E28" w:rsidRPr="001823ED" w:rsidRDefault="00485E28" w:rsidP="00981270">
            <w:pPr>
              <w:widowControl w:val="0"/>
              <w:ind w:firstLine="360"/>
              <w:jc w:val="right"/>
              <w:rPr>
                <w:rFonts w:cs="Calibri"/>
                <w:i/>
                <w:iCs/>
                <w:sz w:val="20"/>
                <w:szCs w:val="20"/>
              </w:rPr>
            </w:pPr>
            <w:r w:rsidRPr="001823ED">
              <w:rPr>
                <w:iCs/>
                <w:sz w:val="20"/>
                <w:szCs w:val="20"/>
              </w:rPr>
              <w:t>BVAB TM7-H1</w:t>
            </w:r>
          </w:p>
        </w:tc>
        <w:tc>
          <w:tcPr>
            <w:tcW w:w="897" w:type="dxa"/>
            <w:shd w:val="clear" w:color="auto" w:fill="auto"/>
          </w:tcPr>
          <w:p w14:paraId="455BA313"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678BE073"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C2E7FBA"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1EE70E9D"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2128633F"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257422EF"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736CE364"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D9D9D9"/>
            <w:vAlign w:val="center"/>
          </w:tcPr>
          <w:p w14:paraId="335C78DA" w14:textId="77777777" w:rsidR="00485E28" w:rsidRPr="001823ED" w:rsidRDefault="00485E28" w:rsidP="00981270">
            <w:pPr>
              <w:widowControl w:val="0"/>
              <w:ind w:firstLine="360"/>
              <w:jc w:val="center"/>
              <w:rPr>
                <w:rFonts w:cs="Calibri"/>
                <w:sz w:val="20"/>
                <w:szCs w:val="20"/>
              </w:rPr>
            </w:pPr>
          </w:p>
        </w:tc>
        <w:tc>
          <w:tcPr>
            <w:tcW w:w="897" w:type="dxa"/>
            <w:shd w:val="clear" w:color="auto" w:fill="D9D9D9"/>
            <w:vAlign w:val="center"/>
          </w:tcPr>
          <w:p w14:paraId="7D95110B"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5ABBC8A2"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710CCF95" w14:textId="77777777" w:rsidR="00485E28" w:rsidRPr="001823ED" w:rsidRDefault="00485E28" w:rsidP="00981270">
            <w:pPr>
              <w:widowControl w:val="0"/>
              <w:ind w:firstLine="360"/>
              <w:jc w:val="center"/>
              <w:rPr>
                <w:rFonts w:cs="Arial"/>
                <w:b/>
                <w:bCs/>
                <w:sz w:val="20"/>
                <w:szCs w:val="20"/>
                <w:shd w:val="clear" w:color="auto" w:fill="FFFFFF"/>
              </w:rPr>
            </w:pPr>
          </w:p>
        </w:tc>
        <w:tc>
          <w:tcPr>
            <w:tcW w:w="898" w:type="dxa"/>
            <w:shd w:val="clear" w:color="auto" w:fill="auto"/>
            <w:vAlign w:val="center"/>
          </w:tcPr>
          <w:p w14:paraId="13847414" w14:textId="77777777" w:rsidR="00485E28" w:rsidRPr="001823ED" w:rsidRDefault="00485E28" w:rsidP="00981270">
            <w:pPr>
              <w:widowControl w:val="0"/>
              <w:jc w:val="center"/>
              <w:rPr>
                <w:rFonts w:cs="Arial"/>
                <w:b/>
                <w:bCs/>
                <w:sz w:val="20"/>
                <w:szCs w:val="20"/>
                <w:shd w:val="clear" w:color="auto" w:fill="FFFFFF"/>
              </w:rPr>
            </w:pPr>
            <w:r w:rsidRPr="001823ED">
              <w:rPr>
                <w:rFonts w:cs="Arial"/>
                <w:b/>
                <w:bCs/>
                <w:sz w:val="20"/>
                <w:szCs w:val="20"/>
                <w:shd w:val="clear" w:color="auto" w:fill="FFFFFF"/>
              </w:rPr>
              <w:t>↑</w:t>
            </w:r>
          </w:p>
        </w:tc>
      </w:tr>
      <w:tr w:rsidR="005F07B5" w:rsidRPr="001823ED" w14:paraId="4D24804F" w14:textId="77777777" w:rsidTr="00981270">
        <w:trPr>
          <w:trHeight w:val="20"/>
        </w:trPr>
        <w:tc>
          <w:tcPr>
            <w:tcW w:w="846" w:type="dxa"/>
            <w:vMerge/>
            <w:shd w:val="clear" w:color="auto" w:fill="auto"/>
          </w:tcPr>
          <w:p w14:paraId="6D8D0173" w14:textId="77777777" w:rsidR="00485E28" w:rsidRPr="001823ED" w:rsidRDefault="00485E28" w:rsidP="00981270">
            <w:pPr>
              <w:widowControl w:val="0"/>
              <w:ind w:firstLine="360"/>
              <w:jc w:val="right"/>
              <w:rPr>
                <w:rFonts w:cs="Calibri"/>
                <w:i/>
                <w:iCs/>
                <w:sz w:val="20"/>
                <w:szCs w:val="20"/>
              </w:rPr>
            </w:pPr>
          </w:p>
        </w:tc>
        <w:tc>
          <w:tcPr>
            <w:tcW w:w="3402" w:type="dxa"/>
            <w:shd w:val="clear" w:color="auto" w:fill="auto"/>
          </w:tcPr>
          <w:p w14:paraId="557D97EE" w14:textId="77777777" w:rsidR="00485E28" w:rsidRPr="001823ED" w:rsidRDefault="00485E28" w:rsidP="00981270">
            <w:pPr>
              <w:widowControl w:val="0"/>
              <w:ind w:firstLine="360"/>
              <w:jc w:val="right"/>
              <w:rPr>
                <w:rFonts w:cs="Calibri"/>
                <w:i/>
                <w:iCs/>
                <w:sz w:val="20"/>
                <w:szCs w:val="20"/>
              </w:rPr>
            </w:pPr>
            <w:r w:rsidRPr="001823ED">
              <w:rPr>
                <w:rFonts w:cs="Calibri"/>
                <w:i/>
                <w:iCs/>
                <w:sz w:val="20"/>
                <w:szCs w:val="20"/>
              </w:rPr>
              <w:t>﻿</w:t>
            </w:r>
            <w:proofErr w:type="spellStart"/>
            <w:r w:rsidRPr="001823ED">
              <w:rPr>
                <w:rFonts w:cs="Calibri"/>
                <w:i/>
                <w:iCs/>
                <w:sz w:val="20"/>
                <w:szCs w:val="20"/>
              </w:rPr>
              <w:t>Ureaplasma</w:t>
            </w:r>
            <w:proofErr w:type="spellEnd"/>
            <w:r w:rsidRPr="001823ED">
              <w:rPr>
                <w:rFonts w:cs="Calibri"/>
                <w:i/>
                <w:iCs/>
                <w:sz w:val="20"/>
                <w:szCs w:val="20"/>
              </w:rPr>
              <w:t xml:space="preserve"> </w:t>
            </w:r>
            <w:r w:rsidRPr="001823ED">
              <w:rPr>
                <w:rFonts w:cs="Calibri"/>
                <w:sz w:val="20"/>
                <w:szCs w:val="20"/>
              </w:rPr>
              <w:t>species</w:t>
            </w:r>
          </w:p>
        </w:tc>
        <w:tc>
          <w:tcPr>
            <w:tcW w:w="897" w:type="dxa"/>
            <w:shd w:val="clear" w:color="auto" w:fill="auto"/>
          </w:tcPr>
          <w:p w14:paraId="4E3A68BE" w14:textId="77777777" w:rsidR="00485E28" w:rsidRPr="001823ED" w:rsidRDefault="00485E28" w:rsidP="00981270">
            <w:pPr>
              <w:widowControl w:val="0"/>
              <w:ind w:right="-104"/>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1D10E5A"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vAlign w:val="center"/>
          </w:tcPr>
          <w:p w14:paraId="3C20578E" w14:textId="77777777" w:rsidR="00485E28" w:rsidRPr="001823ED" w:rsidRDefault="00485E28" w:rsidP="00981270">
            <w:pPr>
              <w:widowControl w:val="0"/>
              <w:ind w:firstLine="360"/>
              <w:jc w:val="center"/>
              <w:rPr>
                <w:rFonts w:cs="Calibri"/>
                <w:sz w:val="20"/>
                <w:szCs w:val="20"/>
              </w:rPr>
            </w:pPr>
          </w:p>
        </w:tc>
        <w:tc>
          <w:tcPr>
            <w:tcW w:w="898" w:type="dxa"/>
            <w:shd w:val="clear" w:color="auto" w:fill="D9D9D9"/>
            <w:vAlign w:val="center"/>
          </w:tcPr>
          <w:p w14:paraId="3FCBB9A7" w14:textId="77777777" w:rsidR="00485E28" w:rsidRPr="001823ED" w:rsidRDefault="00485E28" w:rsidP="00981270">
            <w:pPr>
              <w:widowControl w:val="0"/>
              <w:ind w:firstLine="360"/>
              <w:jc w:val="center"/>
              <w:rPr>
                <w:rFonts w:cs="Calibri"/>
                <w:sz w:val="20"/>
                <w:szCs w:val="20"/>
              </w:rPr>
            </w:pPr>
          </w:p>
        </w:tc>
        <w:tc>
          <w:tcPr>
            <w:tcW w:w="897" w:type="dxa"/>
            <w:shd w:val="clear" w:color="auto" w:fill="auto"/>
            <w:vAlign w:val="center"/>
          </w:tcPr>
          <w:p w14:paraId="059E180F"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1D0DA98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02C7A3A"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3559DE09" w14:textId="77777777" w:rsidR="00485E28" w:rsidRPr="001823ED" w:rsidRDefault="00485E28" w:rsidP="00981270">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vAlign w:val="center"/>
          </w:tcPr>
          <w:p w14:paraId="53A7C660" w14:textId="77777777" w:rsidR="00485E28" w:rsidRPr="001823ED" w:rsidRDefault="00485E28" w:rsidP="00981270">
            <w:pPr>
              <w:widowControl w:val="0"/>
              <w:ind w:firstLine="360"/>
              <w:jc w:val="center"/>
              <w:rPr>
                <w:rFonts w:cs="Calibri"/>
                <w:sz w:val="20"/>
                <w:szCs w:val="20"/>
              </w:rPr>
            </w:pPr>
          </w:p>
        </w:tc>
        <w:tc>
          <w:tcPr>
            <w:tcW w:w="898" w:type="dxa"/>
            <w:shd w:val="clear" w:color="auto" w:fill="auto"/>
            <w:vAlign w:val="center"/>
          </w:tcPr>
          <w:p w14:paraId="6672392C"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E7E6E6" w:themeFill="background2"/>
            <w:vAlign w:val="center"/>
          </w:tcPr>
          <w:p w14:paraId="47084731"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c>
          <w:tcPr>
            <w:tcW w:w="898" w:type="dxa"/>
            <w:shd w:val="clear" w:color="auto" w:fill="auto"/>
            <w:vAlign w:val="center"/>
          </w:tcPr>
          <w:p w14:paraId="23A00675" w14:textId="77777777" w:rsidR="00485E28" w:rsidRPr="001823ED" w:rsidRDefault="00485E28" w:rsidP="00981270">
            <w:pPr>
              <w:widowControl w:val="0"/>
              <w:jc w:val="center"/>
              <w:rPr>
                <w:rFonts w:cs="Calibri"/>
                <w:sz w:val="20"/>
                <w:szCs w:val="20"/>
              </w:rPr>
            </w:pPr>
            <w:r w:rsidRPr="001823ED">
              <w:rPr>
                <w:rFonts w:cs="Calibri"/>
                <w:sz w:val="20"/>
                <w:szCs w:val="20"/>
              </w:rPr>
              <w:sym w:font="Symbol" w:char="F0DB"/>
            </w:r>
          </w:p>
        </w:tc>
      </w:tr>
    </w:tbl>
    <w:p w14:paraId="3DCC19DA" w14:textId="02F6176F" w:rsidR="00A35045" w:rsidRPr="001823ED" w:rsidRDefault="00EA00CC" w:rsidP="009D21B5">
      <w:pPr>
        <w:pStyle w:val="Caption"/>
        <w:widowControl w:val="0"/>
        <w:spacing w:after="0"/>
        <w:rPr>
          <w:rFonts w:asciiTheme="minorHAnsi" w:hAnsiTheme="minorHAnsi" w:cs="Calibri"/>
          <w:i w:val="0"/>
          <w:color w:val="auto"/>
          <w:sz w:val="16"/>
          <w:szCs w:val="16"/>
        </w:rPr>
      </w:pPr>
      <w:r w:rsidRPr="001823ED">
        <w:rPr>
          <w:rFonts w:asciiTheme="minorHAnsi" w:hAnsiTheme="minorHAnsi"/>
          <w:i w:val="0"/>
          <w:color w:val="auto"/>
          <w:sz w:val="16"/>
          <w:szCs w:val="16"/>
          <w:u w:val="single"/>
        </w:rPr>
        <w:t>Abbreviations</w:t>
      </w:r>
      <w:r w:rsidRPr="001823ED">
        <w:rPr>
          <w:rFonts w:asciiTheme="minorHAnsi" w:hAnsiTheme="minorHAnsi"/>
          <w:i w:val="0"/>
          <w:color w:val="auto"/>
          <w:sz w:val="16"/>
          <w:szCs w:val="16"/>
        </w:rPr>
        <w:t xml:space="preserve">: BVAB1, BV-associated bacterium type 1; BVAB TM7, BV-associated bacterium (phylum TM7); </w:t>
      </w:r>
      <w:proofErr w:type="spellStart"/>
      <w:r w:rsidRPr="001823ED">
        <w:rPr>
          <w:rFonts w:asciiTheme="minorHAnsi" w:hAnsiTheme="minorHAnsi" w:cs="Calibri"/>
          <w:i w:val="0"/>
          <w:iCs w:val="0"/>
          <w:color w:val="auto"/>
          <w:sz w:val="16"/>
          <w:szCs w:val="16"/>
        </w:rPr>
        <w:t>Lactos</w:t>
      </w:r>
      <w:proofErr w:type="spellEnd"/>
      <w:r w:rsidRPr="001823ED">
        <w:rPr>
          <w:rFonts w:asciiTheme="minorHAnsi" w:hAnsiTheme="minorHAnsi" w:cs="Calibri"/>
          <w:i w:val="0"/>
          <w:iCs w:val="0"/>
          <w:color w:val="auto"/>
          <w:sz w:val="16"/>
          <w:szCs w:val="16"/>
        </w:rPr>
        <w:t xml:space="preserve">, Lactobacillus </w:t>
      </w:r>
      <w:r w:rsidR="00A35045" w:rsidRPr="001823ED">
        <w:rPr>
          <w:rFonts w:asciiTheme="minorHAnsi" w:hAnsiTheme="minorHAnsi" w:cs="Calibri"/>
          <w:i w:val="0"/>
          <w:color w:val="auto"/>
          <w:sz w:val="16"/>
          <w:szCs w:val="16"/>
        </w:rPr>
        <w:t>species; PTB, preterm birth; VMB, vaginal microbiota.</w:t>
      </w:r>
    </w:p>
    <w:p w14:paraId="57182A22" w14:textId="31B51B15" w:rsidR="00485E28" w:rsidRPr="001823ED" w:rsidRDefault="00A35045" w:rsidP="009D21B5">
      <w:pPr>
        <w:pStyle w:val="Caption"/>
        <w:widowControl w:val="0"/>
        <w:spacing w:after="0"/>
        <w:rPr>
          <w:rFonts w:asciiTheme="minorHAnsi" w:hAnsiTheme="minorHAnsi" w:cs="Calibri"/>
          <w:i w:val="0"/>
          <w:color w:val="auto"/>
          <w:sz w:val="16"/>
          <w:szCs w:val="16"/>
        </w:rPr>
      </w:pPr>
      <w:r w:rsidRPr="001823ED">
        <w:rPr>
          <w:rFonts w:asciiTheme="minorHAnsi" w:hAnsiTheme="minorHAnsi" w:cs="Calibri"/>
          <w:i w:val="0"/>
          <w:color w:val="auto"/>
          <w:sz w:val="16"/>
          <w:szCs w:val="16"/>
        </w:rPr>
        <w:t>VMB characteristics associated with PTB</w:t>
      </w:r>
      <w:r w:rsidR="00485E28" w:rsidRPr="001823ED">
        <w:rPr>
          <w:rFonts w:asciiTheme="minorHAnsi" w:hAnsiTheme="minorHAnsi" w:cs="Calibri"/>
          <w:i w:val="0"/>
          <w:color w:val="auto"/>
          <w:sz w:val="16"/>
          <w:szCs w:val="16"/>
        </w:rPr>
        <w:t xml:space="preserve"> in previous studies. </w:t>
      </w:r>
      <w:r w:rsidR="00485E28" w:rsidRPr="001823ED">
        <w:rPr>
          <w:rFonts w:asciiTheme="minorHAnsi" w:hAnsiTheme="minorHAnsi" w:cs="Calibri"/>
          <w:i w:val="0"/>
          <w:color w:val="auto"/>
          <w:sz w:val="16"/>
          <w:szCs w:val="16"/>
        </w:rPr>
        <w:sym w:font="Symbol" w:char="F0AF"/>
      </w:r>
      <w:r w:rsidRPr="001823ED">
        <w:rPr>
          <w:rFonts w:asciiTheme="minorHAnsi" w:hAnsiTheme="minorHAnsi" w:cs="Calibri"/>
          <w:i w:val="0"/>
          <w:color w:val="auto"/>
          <w:sz w:val="16"/>
          <w:szCs w:val="16"/>
        </w:rPr>
        <w:t>=reduced in PTB cases compared to term;</w:t>
      </w:r>
      <w:r w:rsidR="00485E28" w:rsidRPr="001823ED">
        <w:rPr>
          <w:rFonts w:asciiTheme="minorHAnsi" w:hAnsiTheme="minorHAnsi" w:cs="Calibri"/>
          <w:i w:val="0"/>
          <w:color w:val="auto"/>
          <w:sz w:val="16"/>
          <w:szCs w:val="16"/>
        </w:rPr>
        <w:t xml:space="preserve"> </w:t>
      </w:r>
      <w:r w:rsidR="00485E28" w:rsidRPr="001823ED">
        <w:rPr>
          <w:rFonts w:asciiTheme="minorHAnsi" w:hAnsiTheme="minorHAnsi" w:cs="Calibri"/>
          <w:i w:val="0"/>
          <w:color w:val="auto"/>
          <w:sz w:val="16"/>
          <w:szCs w:val="16"/>
          <w:shd w:val="clear" w:color="auto" w:fill="FFFFFF"/>
        </w:rPr>
        <w:t>↑=increased in</w:t>
      </w:r>
      <w:r w:rsidR="00485E28" w:rsidRPr="001823ED">
        <w:rPr>
          <w:rFonts w:asciiTheme="minorHAnsi" w:hAnsiTheme="minorHAnsi" w:cs="Calibri"/>
          <w:b/>
          <w:bCs/>
          <w:i w:val="0"/>
          <w:color w:val="auto"/>
          <w:sz w:val="16"/>
          <w:szCs w:val="16"/>
          <w:shd w:val="clear" w:color="auto" w:fill="FFFFFF"/>
        </w:rPr>
        <w:t xml:space="preserve"> </w:t>
      </w:r>
      <w:r w:rsidRPr="001823ED">
        <w:rPr>
          <w:rFonts w:asciiTheme="minorHAnsi" w:hAnsiTheme="minorHAnsi" w:cs="Calibri"/>
          <w:i w:val="0"/>
          <w:color w:val="auto"/>
          <w:sz w:val="16"/>
          <w:szCs w:val="16"/>
        </w:rPr>
        <w:t>PTB cases compared to term;</w:t>
      </w:r>
      <w:r w:rsidR="00485E28" w:rsidRPr="001823ED">
        <w:rPr>
          <w:rFonts w:asciiTheme="minorHAnsi" w:hAnsiTheme="minorHAnsi" w:cs="Calibri"/>
          <w:i w:val="0"/>
          <w:color w:val="auto"/>
          <w:sz w:val="16"/>
          <w:szCs w:val="16"/>
        </w:rPr>
        <w:t xml:space="preserve"> dark grey= not assessed or not available</w:t>
      </w:r>
      <w:r w:rsidRPr="001823ED">
        <w:rPr>
          <w:rFonts w:asciiTheme="minorHAnsi" w:hAnsiTheme="minorHAnsi" w:cs="Calibri"/>
          <w:i w:val="0"/>
          <w:color w:val="auto"/>
          <w:sz w:val="16"/>
          <w:szCs w:val="16"/>
        </w:rPr>
        <w:t>;</w:t>
      </w:r>
      <w:r w:rsidR="00485E28" w:rsidRPr="001823ED">
        <w:rPr>
          <w:rFonts w:asciiTheme="minorHAnsi" w:hAnsiTheme="minorHAnsi" w:cs="Calibri"/>
          <w:i w:val="0"/>
          <w:color w:val="auto"/>
          <w:sz w:val="16"/>
          <w:szCs w:val="16"/>
        </w:rPr>
        <w:t xml:space="preserve"> </w:t>
      </w:r>
      <w:r w:rsidR="00485E28" w:rsidRPr="001823ED">
        <w:rPr>
          <w:rFonts w:asciiTheme="minorHAnsi" w:hAnsiTheme="minorHAnsi" w:cs="Calibri"/>
          <w:i w:val="0"/>
          <w:color w:val="auto"/>
          <w:sz w:val="16"/>
          <w:szCs w:val="16"/>
        </w:rPr>
        <w:sym w:font="Symbol" w:char="F0DB"/>
      </w:r>
      <w:r w:rsidR="00485E28" w:rsidRPr="001823ED">
        <w:rPr>
          <w:rFonts w:asciiTheme="minorHAnsi" w:hAnsiTheme="minorHAnsi" w:cs="Calibri"/>
          <w:i w:val="0"/>
          <w:color w:val="auto"/>
          <w:sz w:val="16"/>
          <w:szCs w:val="16"/>
        </w:rPr>
        <w:t xml:space="preserve"> on white background = tested and no difference clearly shown in manuscrip</w:t>
      </w:r>
      <w:r w:rsidRPr="001823ED">
        <w:rPr>
          <w:rFonts w:asciiTheme="minorHAnsi" w:hAnsiTheme="minorHAnsi" w:cs="Calibri"/>
          <w:i w:val="0"/>
          <w:color w:val="auto"/>
          <w:sz w:val="16"/>
          <w:szCs w:val="16"/>
        </w:rPr>
        <w:t>t and/or supplementary materials;</w:t>
      </w:r>
      <w:r w:rsidR="00485E28" w:rsidRPr="001823ED">
        <w:rPr>
          <w:rFonts w:asciiTheme="minorHAnsi" w:hAnsiTheme="minorHAnsi" w:cs="Calibri"/>
          <w:i w:val="0"/>
          <w:color w:val="auto"/>
          <w:sz w:val="16"/>
          <w:szCs w:val="16"/>
        </w:rPr>
        <w:t xml:space="preserve"> </w:t>
      </w:r>
      <w:r w:rsidR="00485E28" w:rsidRPr="001823ED">
        <w:rPr>
          <w:rFonts w:asciiTheme="minorHAnsi" w:hAnsiTheme="minorHAnsi" w:cs="Calibri"/>
          <w:i w:val="0"/>
          <w:color w:val="auto"/>
          <w:sz w:val="16"/>
          <w:szCs w:val="16"/>
        </w:rPr>
        <w:sym w:font="Symbol" w:char="F0DB"/>
      </w:r>
      <w:r w:rsidR="00485E28" w:rsidRPr="001823ED">
        <w:rPr>
          <w:rFonts w:asciiTheme="minorHAnsi" w:hAnsiTheme="minorHAnsi" w:cs="Calibri"/>
          <w:i w:val="0"/>
          <w:color w:val="auto"/>
          <w:sz w:val="16"/>
          <w:szCs w:val="16"/>
        </w:rPr>
        <w:t xml:space="preserve"> on light grey background= testing is inferred within manuscript and/or supplementary material and no difference shown but statistical tests not shown and/or level of assessment is unclear.  </w:t>
      </w:r>
    </w:p>
    <w:p w14:paraId="3CF63E78" w14:textId="59199CB6" w:rsidR="00695E2D" w:rsidRPr="001823ED" w:rsidRDefault="00695E2D" w:rsidP="009D21B5">
      <w:pPr>
        <w:widowControl w:val="0"/>
        <w:jc w:val="both"/>
        <w:rPr>
          <w:lang w:eastAsia="en-US"/>
        </w:rPr>
        <w:sectPr w:rsidR="00695E2D" w:rsidRPr="001823ED" w:rsidSect="00AD6A09">
          <w:pgSz w:w="16838" w:h="11906" w:orient="landscape" w:code="9"/>
          <w:pgMar w:top="1134" w:right="1418" w:bottom="1134" w:left="1418" w:header="720" w:footer="720" w:gutter="0"/>
          <w:cols w:space="720"/>
          <w:titlePg/>
          <w:docGrid w:linePitch="360"/>
        </w:sectPr>
      </w:pPr>
    </w:p>
    <w:p w14:paraId="1AD8C96C" w14:textId="1481B853" w:rsidR="00040A8B" w:rsidRDefault="00040A8B">
      <w:pPr>
        <w:rPr>
          <w:b/>
          <w:noProof/>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3264"/>
        <w:gridCol w:w="809"/>
        <w:gridCol w:w="809"/>
        <w:gridCol w:w="809"/>
        <w:gridCol w:w="809"/>
        <w:gridCol w:w="809"/>
        <w:gridCol w:w="809"/>
        <w:gridCol w:w="809"/>
      </w:tblGrid>
      <w:tr w:rsidR="00C75D3B" w:rsidRPr="001823ED" w14:paraId="152F8789" w14:textId="77777777" w:rsidTr="00C0498B">
        <w:trPr>
          <w:cantSplit/>
          <w:trHeight w:val="1129"/>
        </w:trPr>
        <w:tc>
          <w:tcPr>
            <w:tcW w:w="4392" w:type="dxa"/>
            <w:gridSpan w:val="2"/>
            <w:shd w:val="clear" w:color="auto" w:fill="auto"/>
          </w:tcPr>
          <w:p w14:paraId="112A1BAC" w14:textId="77777777" w:rsidR="00C75D3B" w:rsidRDefault="00C75D3B" w:rsidP="00C0498B">
            <w:pPr>
              <w:widowControl w:val="0"/>
              <w:ind w:left="113" w:firstLine="360"/>
              <w:jc w:val="center"/>
              <w:rPr>
                <w:b/>
                <w:bCs/>
              </w:rPr>
            </w:pPr>
            <w:r w:rsidRPr="001823ED">
              <w:rPr>
                <w:b/>
                <w:bCs/>
              </w:rPr>
              <w:t xml:space="preserve">Part </w:t>
            </w:r>
            <w:r>
              <w:rPr>
                <w:b/>
                <w:bCs/>
              </w:rPr>
              <w:t>3</w:t>
            </w:r>
            <w:r w:rsidRPr="001823ED">
              <w:rPr>
                <w:b/>
                <w:bCs/>
              </w:rPr>
              <w:t>: Study Characteristics</w:t>
            </w:r>
          </w:p>
          <w:p w14:paraId="09B4047C" w14:textId="752BDB3B" w:rsidR="00C75D3B" w:rsidRPr="001823ED" w:rsidRDefault="00C0498B" w:rsidP="00C0498B">
            <w:pPr>
              <w:widowControl w:val="0"/>
              <w:ind w:left="113" w:firstLine="360"/>
              <w:jc w:val="center"/>
              <w:rPr>
                <w:b/>
                <w:bCs/>
              </w:rPr>
            </w:pPr>
            <w:r>
              <w:rPr>
                <w:b/>
                <w:bCs/>
              </w:rPr>
              <w:t>Of a</w:t>
            </w:r>
            <w:r w:rsidR="00C75D3B">
              <w:rPr>
                <w:b/>
                <w:bCs/>
              </w:rPr>
              <w:t>dditional VMB studies not used to develop VMB characteristics assessed in current study</w:t>
            </w:r>
          </w:p>
        </w:tc>
        <w:tc>
          <w:tcPr>
            <w:tcW w:w="809" w:type="dxa"/>
            <w:shd w:val="clear" w:color="auto" w:fill="auto"/>
            <w:textDirection w:val="btLr"/>
          </w:tcPr>
          <w:p w14:paraId="09314005" w14:textId="43B4C8FE" w:rsidR="00C75D3B" w:rsidRPr="001823ED" w:rsidRDefault="00C75D3B" w:rsidP="00C0498B">
            <w:pPr>
              <w:widowControl w:val="0"/>
              <w:ind w:left="113" w:hanging="113"/>
              <w:rPr>
                <w:sz w:val="18"/>
                <w:szCs w:val="18"/>
              </w:rPr>
            </w:pPr>
            <w:proofErr w:type="spellStart"/>
            <w:r>
              <w:rPr>
                <w:sz w:val="18"/>
                <w:szCs w:val="18"/>
              </w:rPr>
              <w:t>Blostein</w:t>
            </w:r>
            <w:proofErr w:type="spellEnd"/>
          </w:p>
          <w:p w14:paraId="4171C1FA" w14:textId="2B125A80" w:rsidR="00C75D3B" w:rsidRPr="001823ED" w:rsidRDefault="00C75D3B" w:rsidP="00C0498B">
            <w:pPr>
              <w:widowControl w:val="0"/>
              <w:ind w:left="113" w:hanging="113"/>
              <w:rPr>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{"citationItems":[{"id":"ITEM-1","itemData":{"DOI":"10.1016/j.annepidem.2019.11.004","ISSN":"18732585","PMID":"31883841","abstract":"Purpose: Preterm birth (PTB) is a major cause of neonatal mortality. The vaginal microbiome is associated with PTB, but results vary across racial/ethnic populations. Some evidence suggests gestational age affects this association. We investigated these associations in a novel population, conducting a post hoc analysis assessing if associations differed between women swabbed at different gestational ages. Methods: We compared vaginal microbiomes from women with PTB (n = 25) to a random sample of women with term births (n = 100) among participants in the Pregnancy Outcomes, Maternal and Infant Study, conducted in Lima, Peru. Using DADA2, we identified taxa from 16S DNA sequencing and used Dirichlet multinomial mixture models to group into community state types (CSTs). Results: If gestational age at sampling was not considered, no CST (diverse, Lactobacillus-dominated or Lactobacillus iners–dominated), was associated with PTB. Among women sampled before 12 weeks' gestation, women with Lactobacillus-dominated CSTs were less likely to have a PTB than those with a diverse CST. Among those swabbed between 12 and 16 weeks' gestation, the reverse was true. Conclusions: Our study supports previous literature suggesting that what constitutes a healthy vaginal microbiome varies by race/ethnicity. Longitudinal studies are necessary to disentangle effects of vaginal microbiome differences over gestation.","author":[{"dropping-particle":"","family":"Blostein","given":"Freida","non-dropping-particle":"","parse-names":false,"suffix":""},{"dropping-particle":"","family":"Gelaye","given":"Bizu","non-dropping-particle":"","parse-names":false,"suffix":""},{"dropping-particle":"","family":"Sanchez","given":"Sixto E.","non-dropping-particle":"","parse-names":false,"suffix":""},{"dropping-particle":"","family":"Williams","given":"Michelle A.","non-dropping-particle":"","parse-names":false,"suffix":""},{"dropping-particle":"","family":"Foxman","given":"Betsy","non-dropping-particle":"","parse-names":false,"suffix":""}],"container-title":"Annals of Epidemiology","id":"ITEM-1","issued":{"date-parts":[["2020"]]},"page":"28-34","publisher":"Elsevier Inc","title":"Vaginal microbiome diversity and preterm birth: results of a nested case–control study in Peru","type":"article-journal","volume":"41"},"uris":["http://www.mendeley.com/documents/?uuid=57c65f33-187f-4118-add6-f891c5cf8be8"]}],"mendeley":{"formattedCitation":"&lt;sup&gt;31&lt;/sup&gt;","plainTextFormattedCitation":"31","previouslyFormattedCitation":"&lt;sup&gt;32&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31</w:t>
            </w:r>
            <w:r>
              <w:rPr>
                <w:sz w:val="18"/>
                <w:szCs w:val="18"/>
              </w:rPr>
              <w:fldChar w:fldCharType="end"/>
            </w:r>
          </w:p>
        </w:tc>
        <w:tc>
          <w:tcPr>
            <w:tcW w:w="809" w:type="dxa"/>
            <w:shd w:val="clear" w:color="auto" w:fill="auto"/>
            <w:textDirection w:val="btLr"/>
          </w:tcPr>
          <w:p w14:paraId="42B6BBCF" w14:textId="5FD5F0DF" w:rsidR="00C75D3B" w:rsidRPr="001823ED" w:rsidRDefault="00C75D3B" w:rsidP="00C0498B">
            <w:pPr>
              <w:widowControl w:val="0"/>
              <w:ind w:left="113" w:hanging="98"/>
              <w:rPr>
                <w:sz w:val="18"/>
                <w:szCs w:val="18"/>
              </w:rPr>
            </w:pPr>
            <w:r>
              <w:rPr>
                <w:sz w:val="18"/>
                <w:szCs w:val="18"/>
              </w:rPr>
              <w:t>Chang</w:t>
            </w:r>
          </w:p>
          <w:p w14:paraId="774FC040" w14:textId="050F0C7E" w:rsidR="00C75D3B" w:rsidRPr="001823ED" w:rsidRDefault="00C75D3B" w:rsidP="00C0498B">
            <w:pPr>
              <w:widowControl w:val="0"/>
              <w:ind w:left="113" w:hanging="98"/>
              <w:rPr>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{"citationItems":[{"id":"ITEM-1","itemData":{"DOI":"10.4014/jmb.1908.08016","ISSN":"17388872","PMID":"31838792","abstract":"The vaginal microbiota may be important for pregnancy prognosis because vaginal dysbiosis during pregnancy appears to be related to preterm birth (PTB) or pregnancy loss. Previous reports have indicated that a Lactobacillus-poor microbial flora in the vagina and intrauterine infection by diverse anaerobes ascending from the vagina are associated with undesirable delivery outcomes. However, no research has involved the use of pyrosequencing analysis to examine vaginal microbiota profiles or their potential associations with high-risk pregnancy in Korean women. Vaginal swabs were collected from 500 Korean women for the identification of community state types (CSTs). Of these, 137 samples were further analyzed using a Roche/454 GS Junior pyrosequencer. Three distinct CSTs were identified based on the dominant vaginal microbes: CST I (Lactobacillus crispatus dominated), CST III (Lactobacillus iners dominated), and CST IV (with diverse species of anaerobes). Twelve of the 67 pregnant women had undesirable pregnancy outcomes (four miscarriages and eight PTBs). The dominant microbe in the vaginal microbiota of women who gave birth at full-term was L. crispatus. In contrast, L. iners was the dominant vaginal microbe in women who miscarried. Most (n = 6/8) vaginal microbiota profiles of women who experienced PTB could be classified as CST IV, with diverse bacteria, including anaerobic vaginal species. The present study provides valuable information regarding the characteristics of the vaginal microbiota of Korean women related to high-risk pregnancy. Investigation of the vaginal microbiotic structure in pregnant Korean women is necessary to enable better prediction of adverse pregnancy outcomes.","author":[{"dropping-particle":"","family":"Chang","given":"Dong Ho","non-dropping-particle":"","parse-names":false,"suffix":""},{"dropping-particle":"","family":"Shin","given":"Jongoh","non-dropping-particle":"","parse-names":false,"suffix":""},{"dropping-particle":"","family":"Rhee","given":"Moon Soo","non-dropping-particle":"","parse-names":false,"suffix":""},{"dropping-particle":"","family":"Park","given":"Kyung Ryang","non-dropping-particle":"","parse-names":false,"suffix":""},{"dropping-particle":"","family":"Cho","given":"Byung Kwan","non-dropping-particle":"","parse-names":false,"suffix":""},{"dropping-particle":"","family":"Lee","given":"Sung Ki","non-dropping-particle":"","parse-names":false,"suffix":""},{"dropping-particle":"","family":"Kim","given":"Byoung Chan","non-dropping-particle":"","parse-names":false,"suffix":""}],"container-title":"Journal of Microbiology and Biotechnology","id":"ITEM-1","issue":"2","issued":{"date-parts":[["2020"]]},"page":"248-258","title":"Vaginal microbiota profiles of native Korean women and associations with high-risk pregnancy","type":"article-journal","volume":"30"},"uris":["http://www.mendeley.com/documents/?uuid=b29ee420-4818-4ff9-921d-4c173ef224a5"]}],"mendeley":{"formattedCitation":"&lt;sup&gt;32&lt;/sup&gt;","plainTextFormattedCitation":"32","previouslyFormattedCitation":"&lt;sup&gt;33&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32</w:t>
            </w:r>
            <w:r>
              <w:rPr>
                <w:sz w:val="18"/>
                <w:szCs w:val="18"/>
              </w:rPr>
              <w:fldChar w:fldCharType="end"/>
            </w:r>
          </w:p>
        </w:tc>
        <w:tc>
          <w:tcPr>
            <w:tcW w:w="809" w:type="dxa"/>
            <w:shd w:val="clear" w:color="auto" w:fill="auto"/>
            <w:textDirection w:val="btLr"/>
          </w:tcPr>
          <w:p w14:paraId="498F3F1A" w14:textId="292250C7" w:rsidR="00C75D3B" w:rsidRPr="001823ED" w:rsidRDefault="00C75D3B" w:rsidP="00C0498B">
            <w:pPr>
              <w:widowControl w:val="0"/>
              <w:ind w:left="113" w:hanging="113"/>
              <w:rPr>
                <w:sz w:val="18"/>
                <w:szCs w:val="18"/>
              </w:rPr>
            </w:pPr>
            <w:r>
              <w:rPr>
                <w:sz w:val="18"/>
                <w:szCs w:val="18"/>
              </w:rPr>
              <w:t>Feehily</w:t>
            </w:r>
          </w:p>
          <w:p w14:paraId="177498FF" w14:textId="7F980A71" w:rsidR="00C75D3B" w:rsidRPr="001823ED" w:rsidRDefault="00C75D3B" w:rsidP="00C0498B">
            <w:pPr>
              <w:widowControl w:val="0"/>
              <w:ind w:left="113" w:hanging="113"/>
              <w:rPr>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{"citationItems":[{"id":"ITEM-1","itemData":{"DOI":"10.1038/s41522-020-00162-8","ISSN":"20555008","PMID":"33184260","abstract":"An association between the vaginal microbiota and preterm birth (PTB) has been reported in several research studies. Population shifts from high proportions of lactobacilli to mixed species communities, as seen with bacterial vaginosis, have been linked to a twofold increased risk of PTB. Despite the increasing number of studies using next-generation sequencing technologies, primarily involving 16S rRNA-based approaches, to investigate the vaginal microbiota during pregnancy, no distinct microbial signature has been associated with PTB. Shotgun metagenomic sequencing offers a powerful tool to reveal community structures and their gene functions at a far greater resolution than amplicon sequencing. In this study, we employ shotgun metagenomic sequencing to compare the vaginal microbiota of women at high risk of preterm birth (n = 35) vs. a low-risk control group (n = 14). Although microbial diversity and richness did not differ between groups, there were significant differences in terms of individual species. In particular, Lactobacillus crispatus was associated with samples from a full-term pregnancy, whereas one community state-type was associated with samples from preterm pregnancies. Furthermore, by predicting gene functions, the functional potential of the preterm microbiota was different from that of full-term equivalent. Taken together, we observed a discrete structural and functional difference in the microbial composition of the vagina in women who deliver preterm. Importance: with an estimated 15 million cases annually, spontaneous preterm birth (PTB) is the leading cause of death in infants under the age of five years. The ability to accurately identify pregnancies at risk of spontaneous PTB is therefore of utmost importance. However, no single cause is attributable. Microbial infection is a known risk factor, yet the role of vaginal microbes is poorly understood. Using high-resolution DNA-sequencing techniques, we investigate the microbial communities present in the vaginal tracts of women deemed high risk for PTB. We confirm that Lactobacillus crispatus is strongly linked to full-term pregnancies, whereas other microbial communities associate with PTB. Importantly, we show that the specific functions of the microbes present in PTB samples differs from FTB samples, highlighting the power of our sequencing approach. This information enables us to begin understanding the specific microbial traits that may be influencing PTB, beyond the presence…","author":[{"dropping-particle":"","family":"Feehily","given":"Conor","non-dropping-particle":"","parse-names":false,"suffix":""},{"dropping-particle":"","family":"Crosby","given":"David","non-dropping-particle":"","parse-names":false,"suffix":""},{"dropping-particle":"","family":"Walsh","given":"Calum J.","non-dropping-particle":"","parse-names":false,"suffix":""},{"dropping-particle":"","family":"Lawton","given":"Elaine M.","non-dropping-particle":"","parse-names":false,"suffix":""},{"dropping-particle":"","family":"Higgins","given":"Shane","non-dropping-particle":"","parse-names":false,"suffix":""},{"dropping-particle":"","family":"McAuliffe","given":"Fionnuala M.","non-dropping-particle":"","parse-names":false,"suffix":""},{"dropping-particle":"","family":"Cotter","given":"Paul D.","non-dropping-particle":"","parse-names":false,"suffix":""}],"container-title":"npj Biofilms and Microbiomes","id":"ITEM-1","issue":"1","issued":{"date-parts":[["2020"]]},"page":"1-9","publisher":"Springer US","title":"Shotgun sequencing of the vaginal microbiome reveals both a species and functional potential signature of preterm birth","type":"article-journal","volume":"6"},"uris":["http://www.mendeley.com/documents/?uuid=a0d2a481-7bd8-46d3-8c69-e4313d828b56"]}],"mendeley":{"formattedCitation":"&lt;sup&gt;33&lt;/sup&gt;","plainTextFormattedCitation":"33","previouslyFormattedCitation":"&lt;sup&gt;34&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33</w:t>
            </w:r>
            <w:r>
              <w:rPr>
                <w:sz w:val="18"/>
                <w:szCs w:val="18"/>
              </w:rPr>
              <w:fldChar w:fldCharType="end"/>
            </w:r>
          </w:p>
        </w:tc>
        <w:tc>
          <w:tcPr>
            <w:tcW w:w="809" w:type="dxa"/>
            <w:shd w:val="clear" w:color="auto" w:fill="auto"/>
            <w:textDirection w:val="btLr"/>
          </w:tcPr>
          <w:p w14:paraId="6F1E2C3A" w14:textId="3C73626B" w:rsidR="00C75D3B" w:rsidRPr="001823ED" w:rsidRDefault="00C75D3B" w:rsidP="00C0498B">
            <w:pPr>
              <w:widowControl w:val="0"/>
              <w:ind w:left="113" w:hanging="113"/>
              <w:rPr>
                <w:sz w:val="18"/>
                <w:szCs w:val="18"/>
              </w:rPr>
            </w:pPr>
            <w:r>
              <w:rPr>
                <w:sz w:val="18"/>
                <w:szCs w:val="18"/>
              </w:rPr>
              <w:t>Odogwu</w:t>
            </w:r>
          </w:p>
          <w:p w14:paraId="739392BF" w14:textId="2A92E643" w:rsidR="00C75D3B" w:rsidRPr="001823ED" w:rsidRDefault="00C75D3B" w:rsidP="00C0498B">
            <w:pPr>
              <w:widowControl w:val="0"/>
              <w:ind w:left="113" w:hanging="113"/>
              <w:rPr>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{"citationItems":[{"id":"ITEM-1","itemData":{"DOI":"10.1128/msphere.01261-20","ISSN":"2379-5042","PMID":"33504666","abstract":" Preterm birth (PTB) is the largest contributor to infant death in sub-Saharan Africa and globally. With a global estimate of 773,600, Nigeria has the third highest rate of PTB worldwide. There have been a number of microbiome profiling studies to identify vaginal microbiomes suggestive of preterm and healthy birth outcome. However, studies on the pregnancy vaginal microbiome in Africa are sparse with none performed in Nigeria. Moreover, few studies have considered the concurrent impact of steroid hormones and the vaginal microbiome on pregnancy outcome. We assessed two key determinants of pregnancy progression to gain a deeper understanding of the interactions between vaginal microbiome composition, steroid hormone concentrations, and pregnancy outcome. Vaginal swabs and blood samples were prospectively collected from healthy midtrimester pregnant women. Vaginal microbiome compositions were assessed by analysis of the V3-V5 region of 16S rRNA genes, and potential functional metabolic traits of identified vaginal microbiomes were imputed by PICRUSt (phylogenetic investigation of communities by reconstruction of unobserved states) analysis, while plasma estradiol (E2) and progesterone (P1) levels were quantified by the competitive enzyme-linked immunosorbent assay (ELISA). PTB vaginal samples were characterized by increased microbial richness, high diversity, and depletion of lactobacilli compared to term delivery samples. Women who delivered preterm were characterized by an Atopobium vaginae -dominated vagitype. High relative abundance of Atopobium vaginae at the midtrimester was highly predictive of PTB (area under the receiving operator characteristics [AUROC] of 0.983). There was a marked overlap in the range of plasma E2 and P1 values between term and PTB groups.  IMPORTANCE Giving birth too soon accounts for half of all newborn deaths worldwide. Clinical symptoms alone are not sufficient to identify women at risk of giving birth too early, as such a pragmatic approach to reducing the incidence of preterm birth entails developing early strategies for intervention before it materializes. In view of the role played by the vaginal microbiome and maternal steroid hormones in determining obstetric outcome, we assessed the vaginal microbiome composition and steroid hormone during pregnancy and examined their relationship in predicting preterm birth risk in Nigerian women. This study highlights a potential early-driver microbial marker for prediction of pr…","author":[{"dropping-particle":"","family":"Odogwu","given":"Nkechi Martina","non-dropping-particle":"","parse-names":false,"suffix":""},{"dropping-particle":"","family":"Chen","given":"Jun","non-dropping-particle":"","parse-names":false,"suffix":""},{"dropping-particle":"","family":"Onebunne","given":"Chinedum Amara","non-dropping-particle":"","parse-names":false,"suffix":""},{"dropping-particle":"","family":"Jeraldo","given":"Patricio","non-dropping-particle":"","parse-names":false,"suffix":""},{"dropping-particle":"","family":"Yang","given":"Lu","non-dropping-particle":"","parse-names":false,"suffix":""},{"dropping-particle":"","family":"Johnson","given":"Stephen","non-dropping-particle":"","parse-names":false,"suffix":""},{"dropping-particle":"","family":"Ayeni","given":"Funmilola A.","non-dropping-particle":"","parse-names":false,"suffix":""},{"dropping-particle":"","family":"Walther-Antonio","given":"Marina R. S.","non-dropping-particle":"","parse-names":false,"suffix":""},{"dropping-particle":"","family":"Olayemi","given":"Oladapo O.","non-dropping-particle":"","parse-names":false,"suffix":""},{"dropping-particle":"","family":"Chia","given":"Nicholas","non-dropping-particle":"","parse-names":false,"suffix":""},{"dropping-particle":"","family":"Omigbodun","given":"Akinyinka O.","non-dropping-particle":"","parse-names":false,"suffix":""}],"container-title":"mSphere","id":"ITEM-1","issue":"1","issued":{"date-parts":[["2021"]]},"page":"1-20","title":" Predominance of Atopobium vaginae at Midtrimester: a Potential Indicator of Preterm Birth Risk in a Nigerian Cohort ","type":"article-journal","volume":"6"},"uris":["http://www.mendeley.com/documents/?uuid=7c5eb903-26b9-492d-a5e2-f4966d5af21d"]}],"mendeley":{"formattedCitation":"&lt;sup&gt;34&lt;/sup&gt;","plainTextFormattedCitation":"34","previouslyFormattedCitation":"&lt;sup&gt;35&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34</w:t>
            </w:r>
            <w:r>
              <w:rPr>
                <w:sz w:val="18"/>
                <w:szCs w:val="18"/>
              </w:rPr>
              <w:fldChar w:fldCharType="end"/>
            </w:r>
          </w:p>
        </w:tc>
        <w:tc>
          <w:tcPr>
            <w:tcW w:w="809" w:type="dxa"/>
            <w:shd w:val="clear" w:color="auto" w:fill="auto"/>
            <w:textDirection w:val="btLr"/>
          </w:tcPr>
          <w:p w14:paraId="7F7195F4" w14:textId="404D77FD" w:rsidR="00C75D3B" w:rsidRPr="001823ED" w:rsidRDefault="00C75D3B" w:rsidP="00C0498B">
            <w:pPr>
              <w:widowControl w:val="0"/>
              <w:ind w:left="113" w:hanging="113"/>
              <w:rPr>
                <w:sz w:val="18"/>
                <w:szCs w:val="18"/>
              </w:rPr>
            </w:pPr>
            <w:r>
              <w:rPr>
                <w:sz w:val="18"/>
                <w:szCs w:val="18"/>
              </w:rPr>
              <w:t>Payne</w:t>
            </w:r>
          </w:p>
          <w:p w14:paraId="4392B97C" w14:textId="6B7C0EDC" w:rsidR="00C75D3B" w:rsidRPr="001823ED" w:rsidRDefault="00C75D3B" w:rsidP="00C0498B">
            <w:pPr>
              <w:widowControl w:val="0"/>
              <w:ind w:left="113" w:hanging="113"/>
              <w:rPr>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{"citationItems":[{"id":"ITEM-1","itemData":{"DOI":"10.1016/j.ajog.2020.08.034","ISSN":"10976868","PMID":"32861687","abstract":"Background: Intrauterine infection accounts for a quarter of the cases of spontaneous preterm birth; however, at present, it is not possible to efficiently identify pregnant women at risk to deliver preventative treatments. Objective: This study aimed to establish a vaginal microbial DNA test for Australian women in midpregnancy that will identify those at increased risk of spontaneous preterm birth. Study Design: A total of 1000 women with singleton pregnancies were recruited in Perth, Australia. Midvaginal swabs were collected between 12 and 23 weeks’ gestation. DNA was extracted for the detection of 23 risk-related microbial DNA targets by quantitative polymerase chain reaction. Obstetrical history, pregnancy outcome, and demographics were recorded. Results: After excluding 64 women owing to losses to follow-up and insufficient sample for microbial analyses, the final cohort consisted of 936 women of predominantly white race (74.3%). The overall preterm birth rate was 12.6% (118 births); the spontaneous preterm birth rate at &lt;37 weeks’ gestation was 6.2% (2.9% at ≤34 weeks’ gestation), whereas the preterm premature rupture of the membranes rate was 4.2%. No single individual microbial target predicted increased spontaneous preterm birth risk. Conversely, women who subsequently delivered at term had higher amounts of Lactobacillus crispatus, Lactobacillus gasseri, or Lactobacillus jensenii DNA in their vaginal swabs (13.8% spontaneous preterm birth vs 31.2% term; P=.005). In the remaining women, a specific microbial DNA signature was identified that was strongly predictive of spontaneous preterm birth risk, consisting of DNA from Gardnerella vaginalis (clade 4), Lactobacillus iners, and Ureaplasma parvum (serovars 3 and 6). Risk prediction was improved if Fusobacterium nucleatum detection was included in the test algorithm. The final algorithm, which we called the Gardnerella Lactobacillus Ureaplasma (GLU) test, was able to detect women at risk of spontaneous preterm birth at &lt;37 and ≤34 weeks’ gestation, with sensitivities of 37.9% and 44.4%, respectively, and likelihood ratios (plus or minus) of 2.22 per 0.75 and 2.52 per 0.67, respectively. Preterm premature rupture of the membranes was more than twice as common in GLU-positive women. Adjusting for maternal demographics, ethnicity, and clinical history did not improve prediction. Only a history of spontaneous preterm birth was more effective at predicting spontaneous preterm birth than a GLU-positi…","author":[{"dropping-particle":"","family":"Payne","given":"Matthew S.","non-dropping-particle":"","parse-names":false,"suffix":""},{"dropping-particle":"","family":"Newnham","given":"John P.","non-dropping-particle":"","parse-names":false,"suffix":""},{"dropping-particle":"","family":"Doherty","given":"Dorota A.","non-dropping-particle":"","parse-names":false,"suffix":""},{"dropping-particle":"","family":"Furfaro","given":"Lucy L.","non-dropping-particle":"","parse-names":false,"suffix":""},{"dropping-particle":"","family":"Pendal","given":"Narisha L.","non-dropping-particle":"","parse-names":false,"suffix":""},{"dropping-particle":"","family":"Loh","given":"Diane E.","non-dropping-particle":"","parse-names":false,"suffix":""},{"dropping-particle":"","family":"Keelan","given":"Jeffrey A.","non-dropping-particle":"","parse-names":false,"suffix":""}],"container-title":"American Journal of Obstetrics and Gynecology","id":"ITEM-1","issue":"2","issued":{"date-parts":[["2021"]]},"page":"206.e1-206.e23","publisher":"Elsevier Inc.","title":"A specific bacterial DNA signature in the vagina of Australian women in midpregnancy predicts high risk of spontaneous preterm birth (the Predict1000 study)","type":"article-journal","volume":"224"},"uris":["http://www.mendeley.com/documents/?uuid=62ad8a83-b268-444f-b1bf-cb821a889bc9"]}],"mendeley":{"formattedCitation":"&lt;sup&gt;35&lt;/sup&gt;","plainTextFormattedCitation":"35","previouslyFormattedCitation":"&lt;sup&gt;36&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35</w:t>
            </w:r>
            <w:r>
              <w:rPr>
                <w:sz w:val="18"/>
                <w:szCs w:val="18"/>
              </w:rPr>
              <w:fldChar w:fldCharType="end"/>
            </w:r>
          </w:p>
        </w:tc>
        <w:tc>
          <w:tcPr>
            <w:tcW w:w="809" w:type="dxa"/>
            <w:shd w:val="clear" w:color="auto" w:fill="auto"/>
            <w:textDirection w:val="btLr"/>
          </w:tcPr>
          <w:p w14:paraId="6EE2B006" w14:textId="0EE5B590" w:rsidR="00C75D3B" w:rsidRPr="001823ED" w:rsidRDefault="00C75D3B" w:rsidP="00C0498B">
            <w:pPr>
              <w:widowControl w:val="0"/>
              <w:ind w:left="113" w:hanging="113"/>
              <w:rPr>
                <w:sz w:val="18"/>
                <w:szCs w:val="18"/>
              </w:rPr>
            </w:pPr>
            <w:r>
              <w:rPr>
                <w:sz w:val="18"/>
                <w:szCs w:val="18"/>
              </w:rPr>
              <w:t>Short</w:t>
            </w:r>
          </w:p>
          <w:p w14:paraId="0987B831" w14:textId="372F1793" w:rsidR="00C75D3B" w:rsidRPr="001823ED" w:rsidRDefault="00C75D3B" w:rsidP="00C0498B">
            <w:pPr>
              <w:widowControl w:val="0"/>
              <w:ind w:left="113" w:hanging="113"/>
              <w:rPr>
                <w:sz w:val="18"/>
                <w:szCs w:val="18"/>
              </w:rPr>
            </w:pPr>
            <w:r w:rsidRPr="001823ED">
              <w:rPr>
                <w:sz w:val="18"/>
                <w:szCs w:val="18"/>
              </w:rPr>
              <w:t>2</w:t>
            </w:r>
            <w:r>
              <w:rPr>
                <w:sz w:val="18"/>
                <w:szCs w:val="18"/>
              </w:rPr>
              <w:t>021</w:t>
            </w:r>
            <w:r>
              <w:rPr>
                <w:sz w:val="18"/>
                <w:szCs w:val="18"/>
              </w:rPr>
              <w:fldChar w:fldCharType="begin" w:fldLock="1"/>
            </w:r>
            <w:r w:rsidR="005136FD">
              <w:rPr>
                <w:sz w:val="18"/>
                <w:szCs w:val="18"/>
              </w:rPr>
              <w:instrText>ADDIN CSL_CITATION {"citationItems":[{"id":"ITEM-1","itemData":{"DOI":"10.3389/fcimb.2020.596917","ISSN":"22352988","PMID":"33643930","abstract":"Background: Pregnant women living with HIV-1 infection (PWLWH) have an elevated risk of preterm birth (PTB) of unknown aetiology, which remains after successful suppression of HIV. Women at high risk for HIV have a common bacterial profile which has been associated with poor birth outcomes. We set out to explore factors associated with gestational age at delivery of PWLWH in a UK population. Methods: Prospective study of PWLWH (n = 53) in whom the vaginal microbiota and cervicovaginal cytokine milieu were assessed using metataxonomics and multiplexed immunoassays, respectively. Cross-sectional characterisation of vaginal microbiota in PWLWH were compared with 22 HIV uninfected pregnant women (HUPW) at a similar second trimester timepoint. Within PWLWH the relationships between bacterial composition, inflammatory response, and gestational age at delivery were explored. Findings: There was a high rate of PTB among PWLWH (12%). In the second trimester the vaginal microbiota was more diverse in PWLWH than in HUPW (Inverse Simpson Index, p = 0.0004 and Species Observed, p = 0.009). PWLWH had a lower prevalence of L. crispatus dominant vaginal microbiota group (VMB I, 15 vs 54%) than HUPW and higher prevalence of L. iners dominant (VMB III, 36 vs 9% and VMB IIIB, 15 vs 5%) and mixed anaerobes (VMB IV, 21 vs 0%). Across the second and third trimesters in PWLWH, VMB III/IIIB and IV were associated with PTB and with increased local inflammation [cervicovaginal fluid (CVF) cytokine concentrations in upper quartile]. High bacterial diversity and anaerobic bacterial abundance were also associated with CVF pro-inflammatory cytokines, most notably IL-1β. Interpretation: There is an association between local inflammation, vaginal dysbiosis and PTB in PWLWH. Understanding the potential of antiretroviral therapies to influence this cascade will be important to improve birth outcomes in this population.","author":[{"dropping-particle":"","family":"Short","given":"Charlotte Eve S.","non-dropping-particle":"","parse-names":false,"suffix":""},{"dropping-particle":"","family":"Brown","given":"Richard G.","non-dropping-particle":"","parse-names":false,"suffix":""},{"dropping-particle":"","family":"Quinlan","given":"Rachael","non-dropping-particle":"","parse-names":false,"suffix":""},{"dropping-particle":"","family":"Lee","given":"Yun S.","non-dropping-particle":"","parse-names":false,"suffix":""},{"dropping-particle":"","family":"Smith","given":"Ann","non-dropping-particle":"","parse-names":false,"suffix":""},{"dropping-particle":"","family":"Marchesi","given":"Julian R.","non-dropping-particle":"","parse-names":false,"suffix":""},{"dropping-particle":"","family":"Shattock","given":"Robin","non-dropping-particle":"","parse-names":false,"suffix":""},{"dropping-particle":"","family":"Bennett","given":"Phillip R.","non-dropping-particle":"","parse-names":false,"suffix":""},{"dropping-particle":"","family":"Taylor","given":"Graham P.","non-dropping-particle":"","parse-names":false,"suffix":""},{"dropping-particle":"","family":"MacIntyre","given":"David A.","non-dropping-particle":"","parse-names":false,"suffix":""}],"container-title":"Frontiers in Cellular and Infection Microbiology","id":"ITEM-1","issue":"February","issued":{"date-parts":[["2021"]]},"page":"1-12","title":"Lactobacillus-Depleted Vaginal Microbiota in Pregnant Women Living With HIV-1 Infection Are Associated With Increased Local Inflammation and Preterm Birth","type":"article-journal","volume":"10"},"uris":["http://www.mendeley.com/documents/?uuid=51377bf4-a5f4-4336-b0a6-3af636876413"]}],"mendeley":{"formattedCitation":"&lt;sup&gt;36&lt;/sup&gt;","plainTextFormattedCitation":"36","previouslyFormattedCitation":"&lt;sup&gt;37&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36</w:t>
            </w:r>
            <w:r>
              <w:rPr>
                <w:sz w:val="18"/>
                <w:szCs w:val="18"/>
              </w:rPr>
              <w:fldChar w:fldCharType="end"/>
            </w:r>
          </w:p>
        </w:tc>
        <w:tc>
          <w:tcPr>
            <w:tcW w:w="809" w:type="dxa"/>
            <w:shd w:val="clear" w:color="auto" w:fill="auto"/>
            <w:textDirection w:val="btLr"/>
          </w:tcPr>
          <w:p w14:paraId="4321FF10" w14:textId="77777777" w:rsidR="00C75D3B" w:rsidRDefault="00C75D3B" w:rsidP="00C0498B">
            <w:pPr>
              <w:widowControl w:val="0"/>
              <w:ind w:left="113" w:hanging="113"/>
              <w:rPr>
                <w:sz w:val="18"/>
                <w:szCs w:val="18"/>
              </w:rPr>
            </w:pPr>
            <w:r>
              <w:rPr>
                <w:sz w:val="18"/>
                <w:szCs w:val="18"/>
              </w:rPr>
              <w:t>Kumar</w:t>
            </w:r>
            <w:r w:rsidRPr="001823ED">
              <w:rPr>
                <w:sz w:val="18"/>
                <w:szCs w:val="18"/>
              </w:rPr>
              <w:t xml:space="preserve"> </w:t>
            </w:r>
          </w:p>
          <w:p w14:paraId="36B1D365" w14:textId="69AD1C0F" w:rsidR="00C75D3B" w:rsidRPr="001823ED" w:rsidRDefault="00C75D3B" w:rsidP="00C0498B">
            <w:pPr>
              <w:widowControl w:val="0"/>
              <w:ind w:left="113" w:hanging="113"/>
              <w:rPr>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{"citationItems":[{"id":"ITEM-1","itemData":{"DOI":"10.3389/fcimb.2021.639665","ISSN":"22352988","abstract":" Preterm birth (PTB) is the most common cause of neonatal morbidity and mortality worldwide. Approximately half of PTBs is linked with microbial etiologies, including pathologic changes to the vaginal microbiota, which vary according to ethnicity. Globally more than 50% of PTBs occur in Asia, but studies of the vaginal microbiome and its association with pregnancy outcomes in Asian women are lacking. This study aimed to longitudinally analyzed the vaginal microbiome and cytokine environment of 18 Karen and Burman pregnant women who delivered preterm and 36 matched controls delivering at full term. Using 16S ribosomal RNA gene sequencing we identified a predictive vaginal microbiota signature for PTB that was detectable as early as the first trimester of pregnancy, characterized by higher levels of Prevotella buccalis , and lower levels of Lactobacillus crispatus and Finegoldia , accompanied by decreased levels of cytokines including IFNγ, IL-4, and TNFα. Differences in the vaginal microbial diversity and local vaginal immune environment were associated with greater risk of preterm birth. Our findings highlight new opportunities to predict PTB in Asian women in low-resource settings who are at highest risk of adverse outcomes from unexpected PTB, as well as in Burman/Karen ethnic minority groups in high-resource regions. ","author":[{"dropping-particle":"","family":"Kumar","given":"Manoj","non-dropping-particle":"","parse-names":false,"suffix":""},{"dropping-particle":"","family":"Murugesan","given":"Selvasankar","non-dropping-particle":"","parse-names":false,"suffix":""},{"dropping-particle":"","family":"Singh","given":"Parul","non-dropping-particle":"","parse-names":false,"suffix":""},{"dropping-particle":"","family":"Saadaoui","given":"Marwa","non-dropping-particle":"","parse-names":false,"suffix":""},{"dropping-particle":"","family":"Elhag","given":"Duaa Ahmed","non-dropping-particle":"","parse-names":false,"suffix":""},{"dropping-particle":"","family":"Terranegra","given":"Annalisa","non-dropping-particle":"","parse-names":false,"suffix":""},{"dropping-particle":"","family":"Kabeer","given":"Basirudeen Syed Ahamed","non-dropping-particle":"","parse-names":false,"suffix":""},{"dropping-particle":"","family":"Marr","given":"Alexandra K.","non-dropping-particle":"","parse-names":false,"suffix":""},{"dropping-particle":"","family":"Kino","given":"Tomoshige","non-dropping-particle":"","parse-names":false,"suffix":""},{"dropping-particle":"","family":"Brummaier","given":"Tobias","non-dropping-particle":"","parse-names":false,"suffix":""},{"dropping-particle":"","family":"McGready","given":"Rose","non-dropping-particle":"","parse-names":false,"suffix":""},{"dropping-particle":"","family":"Nosten","given":"François","non-dropping-particle":"","parse-names":false,"suffix":""},{"dropping-particle":"","family":"Chaussabel","given":"Damien","non-dropping-particle":"","parse-names":false,"suffix":""},{"dropping-particle":"","family":"Khodor","given":"Souhaila","non-dropping-particle":"Al","parse-names":false,"suffix":""}],"container-title":"Frontiers in Cellular and Infection Microbiology","id":"ITEM-1","issue":"March","issued":{"date-parts":[["2021"]]},"page":"1-16","title":"Vaginal Microbiota and Cytokine Levels Predict Preterm Delivery in Asian Women","type":"article-journal","volume":"11"},"uris":["http://www.mendeley.com/documents/?uuid=2fdc1e5b-500d-4734-a89a-7a50b7a94bcc"]}],"mendeley":{"formattedCitation":"&lt;sup&gt;37&lt;/sup&gt;","plainTextFormattedCitation":"37","previouslyFormattedCitation":"&lt;sup&gt;38&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37</w:t>
            </w:r>
            <w:r>
              <w:rPr>
                <w:sz w:val="18"/>
                <w:szCs w:val="18"/>
              </w:rPr>
              <w:fldChar w:fldCharType="end"/>
            </w:r>
          </w:p>
        </w:tc>
      </w:tr>
      <w:tr w:rsidR="00C75D3B" w:rsidRPr="001823ED" w14:paraId="53021DFA" w14:textId="77777777" w:rsidTr="00C0498B">
        <w:trPr>
          <w:cantSplit/>
          <w:trHeight w:val="366"/>
        </w:trPr>
        <w:tc>
          <w:tcPr>
            <w:tcW w:w="1128" w:type="dxa"/>
            <w:vMerge w:val="restart"/>
            <w:shd w:val="clear" w:color="auto" w:fill="auto"/>
            <w:textDirection w:val="btLr"/>
          </w:tcPr>
          <w:p w14:paraId="5B6F4EF0" w14:textId="77777777" w:rsidR="00C75D3B" w:rsidRPr="001823ED" w:rsidRDefault="00C75D3B" w:rsidP="00C0498B">
            <w:pPr>
              <w:widowControl w:val="0"/>
              <w:ind w:left="113" w:right="113" w:firstLine="360"/>
              <w:jc w:val="center"/>
            </w:pPr>
            <w:r w:rsidRPr="001823ED">
              <w:rPr>
                <w:rFonts w:cs="Calibri"/>
              </w:rPr>
              <w:t>Population</w:t>
            </w:r>
          </w:p>
        </w:tc>
        <w:tc>
          <w:tcPr>
            <w:tcW w:w="3264" w:type="dxa"/>
            <w:shd w:val="clear" w:color="auto" w:fill="auto"/>
          </w:tcPr>
          <w:p w14:paraId="5834218E" w14:textId="77777777" w:rsidR="00C75D3B" w:rsidRPr="001823ED" w:rsidRDefault="00C75D3B" w:rsidP="00C0498B">
            <w:pPr>
              <w:widowControl w:val="0"/>
              <w:ind w:right="-103"/>
              <w:rPr>
                <w:sz w:val="20"/>
                <w:szCs w:val="20"/>
              </w:rPr>
            </w:pPr>
            <w:r w:rsidRPr="001823ED">
              <w:rPr>
                <w:rFonts w:cs="Calibri"/>
                <w:sz w:val="20"/>
                <w:szCs w:val="20"/>
              </w:rPr>
              <w:t>Number of term birth participants</w:t>
            </w:r>
          </w:p>
        </w:tc>
        <w:tc>
          <w:tcPr>
            <w:tcW w:w="809" w:type="dxa"/>
            <w:shd w:val="clear" w:color="auto" w:fill="auto"/>
          </w:tcPr>
          <w:p w14:paraId="66BC2A59" w14:textId="2D4E76BF" w:rsidR="00C75D3B" w:rsidRPr="007B0BF4" w:rsidRDefault="00C75D3B" w:rsidP="00C0498B">
            <w:pPr>
              <w:widowControl w:val="0"/>
              <w:ind w:left="113" w:hanging="113"/>
              <w:jc w:val="center"/>
              <w:rPr>
                <w:sz w:val="20"/>
                <w:szCs w:val="20"/>
              </w:rPr>
            </w:pPr>
            <w:r>
              <w:rPr>
                <w:sz w:val="20"/>
                <w:szCs w:val="20"/>
              </w:rPr>
              <w:t>100</w:t>
            </w:r>
          </w:p>
        </w:tc>
        <w:tc>
          <w:tcPr>
            <w:tcW w:w="809" w:type="dxa"/>
            <w:shd w:val="clear" w:color="auto" w:fill="auto"/>
          </w:tcPr>
          <w:p w14:paraId="471E927A" w14:textId="33E6393D" w:rsidR="00C75D3B" w:rsidRPr="001823ED" w:rsidRDefault="00C75D3B" w:rsidP="00C0498B">
            <w:pPr>
              <w:widowControl w:val="0"/>
              <w:ind w:left="113" w:hanging="98"/>
              <w:jc w:val="center"/>
              <w:rPr>
                <w:sz w:val="20"/>
                <w:szCs w:val="20"/>
              </w:rPr>
            </w:pPr>
            <w:r>
              <w:rPr>
                <w:sz w:val="20"/>
                <w:szCs w:val="20"/>
              </w:rPr>
              <w:t>48</w:t>
            </w:r>
          </w:p>
        </w:tc>
        <w:tc>
          <w:tcPr>
            <w:tcW w:w="809" w:type="dxa"/>
            <w:shd w:val="clear" w:color="auto" w:fill="auto"/>
          </w:tcPr>
          <w:p w14:paraId="7AE62650" w14:textId="4ECF7B84" w:rsidR="00C75D3B" w:rsidRPr="001823ED" w:rsidRDefault="00C75D3B" w:rsidP="00C0498B">
            <w:pPr>
              <w:widowControl w:val="0"/>
              <w:ind w:left="113" w:hanging="113"/>
              <w:jc w:val="center"/>
              <w:rPr>
                <w:sz w:val="20"/>
                <w:szCs w:val="20"/>
              </w:rPr>
            </w:pPr>
            <w:r>
              <w:rPr>
                <w:sz w:val="20"/>
                <w:szCs w:val="20"/>
              </w:rPr>
              <w:t>41</w:t>
            </w:r>
          </w:p>
        </w:tc>
        <w:tc>
          <w:tcPr>
            <w:tcW w:w="809" w:type="dxa"/>
            <w:shd w:val="clear" w:color="auto" w:fill="auto"/>
          </w:tcPr>
          <w:p w14:paraId="6A58BCA7" w14:textId="4731E725" w:rsidR="00C75D3B" w:rsidRPr="001823ED" w:rsidRDefault="00C75D3B" w:rsidP="00C0498B">
            <w:pPr>
              <w:widowControl w:val="0"/>
              <w:ind w:left="113" w:hanging="113"/>
              <w:jc w:val="center"/>
              <w:rPr>
                <w:sz w:val="20"/>
                <w:szCs w:val="20"/>
              </w:rPr>
            </w:pPr>
            <w:r>
              <w:rPr>
                <w:sz w:val="20"/>
                <w:szCs w:val="20"/>
              </w:rPr>
              <w:t>30</w:t>
            </w:r>
          </w:p>
        </w:tc>
        <w:tc>
          <w:tcPr>
            <w:tcW w:w="809" w:type="dxa"/>
            <w:shd w:val="clear" w:color="auto" w:fill="auto"/>
          </w:tcPr>
          <w:p w14:paraId="694A3A97" w14:textId="38EE0D6C" w:rsidR="00C75D3B" w:rsidRPr="001823ED" w:rsidRDefault="00C75D3B" w:rsidP="00C0498B">
            <w:pPr>
              <w:widowControl w:val="0"/>
              <w:ind w:left="113" w:hanging="113"/>
              <w:jc w:val="center"/>
              <w:rPr>
                <w:sz w:val="20"/>
                <w:szCs w:val="20"/>
              </w:rPr>
            </w:pPr>
            <w:r>
              <w:rPr>
                <w:sz w:val="20"/>
                <w:szCs w:val="20"/>
              </w:rPr>
              <w:t>818</w:t>
            </w:r>
          </w:p>
        </w:tc>
        <w:tc>
          <w:tcPr>
            <w:tcW w:w="809" w:type="dxa"/>
            <w:shd w:val="clear" w:color="auto" w:fill="auto"/>
          </w:tcPr>
          <w:p w14:paraId="5FB6B095" w14:textId="3FE31914" w:rsidR="00C75D3B" w:rsidRPr="001823ED" w:rsidRDefault="00C75D3B" w:rsidP="00C0498B">
            <w:pPr>
              <w:widowControl w:val="0"/>
              <w:ind w:left="113" w:hanging="113"/>
              <w:jc w:val="center"/>
              <w:rPr>
                <w:sz w:val="20"/>
                <w:szCs w:val="20"/>
              </w:rPr>
            </w:pPr>
            <w:r>
              <w:rPr>
                <w:sz w:val="20"/>
                <w:szCs w:val="20"/>
              </w:rPr>
              <w:t>47</w:t>
            </w:r>
          </w:p>
        </w:tc>
        <w:tc>
          <w:tcPr>
            <w:tcW w:w="809" w:type="dxa"/>
            <w:shd w:val="clear" w:color="auto" w:fill="auto"/>
          </w:tcPr>
          <w:p w14:paraId="7EA13C63" w14:textId="4565CEEE" w:rsidR="00C75D3B" w:rsidRPr="001823ED" w:rsidRDefault="00C75D3B" w:rsidP="00C0498B">
            <w:pPr>
              <w:widowControl w:val="0"/>
              <w:ind w:left="113" w:hanging="113"/>
              <w:jc w:val="center"/>
              <w:rPr>
                <w:sz w:val="20"/>
                <w:szCs w:val="20"/>
              </w:rPr>
            </w:pPr>
            <w:r>
              <w:rPr>
                <w:sz w:val="20"/>
                <w:szCs w:val="20"/>
              </w:rPr>
              <w:t>36</w:t>
            </w:r>
          </w:p>
        </w:tc>
      </w:tr>
      <w:tr w:rsidR="00C75D3B" w:rsidRPr="001823ED" w14:paraId="724D0F69" w14:textId="77777777" w:rsidTr="00C0498B">
        <w:trPr>
          <w:cantSplit/>
          <w:trHeight w:val="366"/>
        </w:trPr>
        <w:tc>
          <w:tcPr>
            <w:tcW w:w="1128" w:type="dxa"/>
            <w:vMerge/>
            <w:shd w:val="clear" w:color="auto" w:fill="auto"/>
            <w:textDirection w:val="btLr"/>
          </w:tcPr>
          <w:p w14:paraId="1344EF9E" w14:textId="77777777" w:rsidR="00C75D3B" w:rsidRPr="001823ED" w:rsidRDefault="00C75D3B" w:rsidP="00C0498B">
            <w:pPr>
              <w:widowControl w:val="0"/>
              <w:ind w:left="113" w:right="113" w:firstLine="360"/>
            </w:pPr>
          </w:p>
        </w:tc>
        <w:tc>
          <w:tcPr>
            <w:tcW w:w="3264" w:type="dxa"/>
            <w:shd w:val="clear" w:color="auto" w:fill="auto"/>
          </w:tcPr>
          <w:p w14:paraId="56A9342C" w14:textId="77777777" w:rsidR="00C75D3B" w:rsidRPr="001823ED" w:rsidRDefault="00C75D3B" w:rsidP="00C0498B">
            <w:pPr>
              <w:widowControl w:val="0"/>
              <w:ind w:right="113"/>
              <w:rPr>
                <w:sz w:val="20"/>
                <w:szCs w:val="20"/>
              </w:rPr>
            </w:pPr>
            <w:r w:rsidRPr="001823ED">
              <w:rPr>
                <w:rFonts w:cs="Calibri"/>
                <w:sz w:val="20"/>
                <w:szCs w:val="20"/>
              </w:rPr>
              <w:t>Number of PTB participants</w:t>
            </w:r>
          </w:p>
        </w:tc>
        <w:tc>
          <w:tcPr>
            <w:tcW w:w="809" w:type="dxa"/>
            <w:shd w:val="clear" w:color="auto" w:fill="auto"/>
          </w:tcPr>
          <w:p w14:paraId="19344F50" w14:textId="292E90C1" w:rsidR="00C75D3B" w:rsidRPr="007B0BF4" w:rsidRDefault="00C75D3B" w:rsidP="00C0498B">
            <w:pPr>
              <w:widowControl w:val="0"/>
              <w:ind w:left="113" w:hanging="113"/>
              <w:jc w:val="center"/>
              <w:rPr>
                <w:sz w:val="20"/>
                <w:szCs w:val="20"/>
              </w:rPr>
            </w:pPr>
            <w:r>
              <w:rPr>
                <w:sz w:val="20"/>
                <w:szCs w:val="20"/>
              </w:rPr>
              <w:t>25</w:t>
            </w:r>
          </w:p>
        </w:tc>
        <w:tc>
          <w:tcPr>
            <w:tcW w:w="809" w:type="dxa"/>
            <w:shd w:val="clear" w:color="auto" w:fill="auto"/>
          </w:tcPr>
          <w:p w14:paraId="7ADA260C" w14:textId="71F24D9D" w:rsidR="00C75D3B" w:rsidRPr="001823ED" w:rsidRDefault="00C75D3B" w:rsidP="00C0498B">
            <w:pPr>
              <w:widowControl w:val="0"/>
              <w:ind w:left="113" w:hanging="98"/>
              <w:jc w:val="center"/>
              <w:rPr>
                <w:sz w:val="20"/>
                <w:szCs w:val="20"/>
              </w:rPr>
            </w:pPr>
            <w:r>
              <w:rPr>
                <w:sz w:val="20"/>
                <w:szCs w:val="20"/>
              </w:rPr>
              <w:t>8</w:t>
            </w:r>
          </w:p>
        </w:tc>
        <w:tc>
          <w:tcPr>
            <w:tcW w:w="809" w:type="dxa"/>
            <w:shd w:val="clear" w:color="auto" w:fill="auto"/>
          </w:tcPr>
          <w:p w14:paraId="1DF28702" w14:textId="08C25A16" w:rsidR="00C75D3B" w:rsidRPr="001823ED" w:rsidRDefault="00C75D3B" w:rsidP="00C0498B">
            <w:pPr>
              <w:widowControl w:val="0"/>
              <w:ind w:left="113" w:hanging="113"/>
              <w:jc w:val="center"/>
              <w:rPr>
                <w:sz w:val="20"/>
                <w:szCs w:val="20"/>
              </w:rPr>
            </w:pPr>
            <w:r>
              <w:rPr>
                <w:sz w:val="20"/>
                <w:szCs w:val="20"/>
              </w:rPr>
              <w:t>8</w:t>
            </w:r>
          </w:p>
        </w:tc>
        <w:tc>
          <w:tcPr>
            <w:tcW w:w="809" w:type="dxa"/>
            <w:shd w:val="clear" w:color="auto" w:fill="auto"/>
          </w:tcPr>
          <w:p w14:paraId="7C3219E3" w14:textId="259F7206" w:rsidR="00C75D3B" w:rsidRPr="001823ED" w:rsidRDefault="00C75D3B" w:rsidP="00C0498B">
            <w:pPr>
              <w:widowControl w:val="0"/>
              <w:ind w:left="113" w:hanging="113"/>
              <w:jc w:val="center"/>
              <w:rPr>
                <w:sz w:val="20"/>
                <w:szCs w:val="20"/>
              </w:rPr>
            </w:pPr>
            <w:r>
              <w:rPr>
                <w:sz w:val="20"/>
                <w:szCs w:val="20"/>
              </w:rPr>
              <w:t>8</w:t>
            </w:r>
          </w:p>
        </w:tc>
        <w:tc>
          <w:tcPr>
            <w:tcW w:w="809" w:type="dxa"/>
            <w:shd w:val="clear" w:color="auto" w:fill="auto"/>
          </w:tcPr>
          <w:p w14:paraId="29180237" w14:textId="6E62E1B3" w:rsidR="00C75D3B" w:rsidRPr="001823ED" w:rsidRDefault="00C75D3B" w:rsidP="00C0498B">
            <w:pPr>
              <w:widowControl w:val="0"/>
              <w:ind w:left="113" w:hanging="113"/>
              <w:jc w:val="center"/>
              <w:rPr>
                <w:sz w:val="20"/>
                <w:szCs w:val="20"/>
              </w:rPr>
            </w:pPr>
            <w:r>
              <w:rPr>
                <w:sz w:val="20"/>
                <w:szCs w:val="20"/>
              </w:rPr>
              <w:t>58</w:t>
            </w:r>
          </w:p>
        </w:tc>
        <w:tc>
          <w:tcPr>
            <w:tcW w:w="809" w:type="dxa"/>
            <w:shd w:val="clear" w:color="auto" w:fill="auto"/>
          </w:tcPr>
          <w:p w14:paraId="1919CF6D" w14:textId="4933974F" w:rsidR="00C75D3B" w:rsidRPr="001823ED" w:rsidRDefault="00C75D3B" w:rsidP="00C0498B">
            <w:pPr>
              <w:widowControl w:val="0"/>
              <w:ind w:left="113" w:hanging="113"/>
              <w:jc w:val="center"/>
              <w:rPr>
                <w:sz w:val="20"/>
                <w:szCs w:val="20"/>
              </w:rPr>
            </w:pPr>
            <w:r>
              <w:rPr>
                <w:rFonts w:cs="Calibri"/>
                <w:sz w:val="20"/>
                <w:szCs w:val="20"/>
              </w:rPr>
              <w:t>6</w:t>
            </w:r>
          </w:p>
        </w:tc>
        <w:tc>
          <w:tcPr>
            <w:tcW w:w="809" w:type="dxa"/>
            <w:shd w:val="clear" w:color="auto" w:fill="auto"/>
          </w:tcPr>
          <w:p w14:paraId="0E373B1A" w14:textId="054CC50E" w:rsidR="00C75D3B" w:rsidRPr="001823ED" w:rsidRDefault="00C75D3B" w:rsidP="00C0498B">
            <w:pPr>
              <w:widowControl w:val="0"/>
              <w:ind w:left="113" w:hanging="113"/>
              <w:jc w:val="center"/>
              <w:rPr>
                <w:sz w:val="20"/>
                <w:szCs w:val="20"/>
              </w:rPr>
            </w:pPr>
            <w:r>
              <w:rPr>
                <w:sz w:val="20"/>
                <w:szCs w:val="20"/>
              </w:rPr>
              <w:t>18</w:t>
            </w:r>
          </w:p>
        </w:tc>
      </w:tr>
      <w:tr w:rsidR="00C75D3B" w:rsidRPr="001823ED" w14:paraId="1877A9B4" w14:textId="77777777" w:rsidTr="00C0498B">
        <w:trPr>
          <w:cantSplit/>
          <w:trHeight w:val="366"/>
        </w:trPr>
        <w:tc>
          <w:tcPr>
            <w:tcW w:w="1128" w:type="dxa"/>
            <w:vMerge/>
            <w:shd w:val="clear" w:color="auto" w:fill="auto"/>
            <w:textDirection w:val="btLr"/>
          </w:tcPr>
          <w:p w14:paraId="115520D1" w14:textId="77777777" w:rsidR="00C75D3B" w:rsidRPr="001823ED" w:rsidRDefault="00C75D3B" w:rsidP="00C0498B">
            <w:pPr>
              <w:widowControl w:val="0"/>
              <w:ind w:left="113" w:right="113" w:firstLine="360"/>
            </w:pPr>
          </w:p>
        </w:tc>
        <w:tc>
          <w:tcPr>
            <w:tcW w:w="3264" w:type="dxa"/>
            <w:shd w:val="clear" w:color="auto" w:fill="auto"/>
          </w:tcPr>
          <w:p w14:paraId="09D89FB6" w14:textId="77777777" w:rsidR="00C75D3B" w:rsidRPr="001823ED" w:rsidRDefault="00C75D3B" w:rsidP="00C0498B">
            <w:pPr>
              <w:widowControl w:val="0"/>
              <w:ind w:right="113"/>
              <w:rPr>
                <w:rFonts w:cs="Calibri"/>
                <w:sz w:val="20"/>
                <w:szCs w:val="20"/>
              </w:rPr>
            </w:pPr>
            <w:r w:rsidRPr="001823ED">
              <w:rPr>
                <w:rFonts w:cs="Calibri"/>
                <w:sz w:val="20"/>
                <w:szCs w:val="20"/>
              </w:rPr>
              <w:t>Inclusion of sPTB cases</w:t>
            </w:r>
          </w:p>
        </w:tc>
        <w:tc>
          <w:tcPr>
            <w:tcW w:w="809" w:type="dxa"/>
            <w:shd w:val="clear" w:color="auto" w:fill="auto"/>
          </w:tcPr>
          <w:p w14:paraId="30FD060E" w14:textId="67B6C018" w:rsidR="00C75D3B" w:rsidRPr="007B0BF4"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655FD8BE" w14:textId="490850FE" w:rsidR="00C75D3B" w:rsidRPr="001823ED" w:rsidRDefault="00C75D3B" w:rsidP="00C0498B">
            <w:pPr>
              <w:widowControl w:val="0"/>
              <w:ind w:hanging="9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290ADC8C" w14:textId="33183D57"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20BBB370" w14:textId="454F8076"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5BDF9B97" w14:textId="1300B0E7"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2C60C9C5" w14:textId="77777777"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18296336" w14:textId="0D154D15"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C75D3B" w:rsidRPr="001823ED" w14:paraId="364D4EA7" w14:textId="77777777" w:rsidTr="00C0498B">
        <w:trPr>
          <w:cantSplit/>
          <w:trHeight w:val="366"/>
        </w:trPr>
        <w:tc>
          <w:tcPr>
            <w:tcW w:w="1128" w:type="dxa"/>
            <w:vMerge/>
            <w:shd w:val="clear" w:color="auto" w:fill="auto"/>
            <w:textDirection w:val="btLr"/>
          </w:tcPr>
          <w:p w14:paraId="41B61AC8" w14:textId="77777777" w:rsidR="00C75D3B" w:rsidRPr="001823ED" w:rsidRDefault="00C75D3B" w:rsidP="00C0498B">
            <w:pPr>
              <w:widowControl w:val="0"/>
              <w:ind w:left="113" w:right="113" w:firstLine="360"/>
            </w:pPr>
          </w:p>
        </w:tc>
        <w:tc>
          <w:tcPr>
            <w:tcW w:w="3264" w:type="dxa"/>
            <w:shd w:val="clear" w:color="auto" w:fill="auto"/>
          </w:tcPr>
          <w:p w14:paraId="022E53EF" w14:textId="77777777" w:rsidR="00C75D3B" w:rsidRPr="001823ED" w:rsidRDefault="00C75D3B" w:rsidP="00C0498B">
            <w:pPr>
              <w:widowControl w:val="0"/>
              <w:ind w:right="113"/>
              <w:rPr>
                <w:rFonts w:cs="Calibri"/>
                <w:sz w:val="20"/>
                <w:szCs w:val="20"/>
              </w:rPr>
            </w:pPr>
            <w:r w:rsidRPr="001823ED">
              <w:rPr>
                <w:rFonts w:cs="Calibri"/>
                <w:sz w:val="20"/>
                <w:szCs w:val="20"/>
              </w:rPr>
              <w:t>Inclusion of PPROM cases</w:t>
            </w:r>
          </w:p>
        </w:tc>
        <w:tc>
          <w:tcPr>
            <w:tcW w:w="809" w:type="dxa"/>
            <w:shd w:val="clear" w:color="auto" w:fill="auto"/>
          </w:tcPr>
          <w:p w14:paraId="07244D12" w14:textId="68F43FBE" w:rsidR="00C75D3B" w:rsidRPr="007B0BF4" w:rsidRDefault="00C75D3B" w:rsidP="00C0498B">
            <w:pPr>
              <w:widowControl w:val="0"/>
              <w:ind w:hanging="113"/>
              <w:jc w:val="center"/>
              <w:rPr>
                <w:rFonts w:cs="Segoe UI Symbol"/>
                <w:sz w:val="20"/>
                <w:szCs w:val="20"/>
              </w:rPr>
            </w:pPr>
            <w:r w:rsidRPr="001823ED">
              <w:rPr>
                <w:rFonts w:ascii="Segoe UI Symbol" w:hAnsi="Segoe UI Symbol" w:cs="Segoe UI Symbol"/>
                <w:b/>
                <w:bCs/>
                <w:sz w:val="20"/>
                <w:szCs w:val="20"/>
              </w:rPr>
              <w:t>✓</w:t>
            </w:r>
          </w:p>
        </w:tc>
        <w:tc>
          <w:tcPr>
            <w:tcW w:w="809" w:type="dxa"/>
            <w:shd w:val="clear" w:color="auto" w:fill="auto"/>
          </w:tcPr>
          <w:p w14:paraId="15E919B2" w14:textId="5F1806C6" w:rsidR="00C75D3B" w:rsidRPr="001823ED" w:rsidRDefault="00C75D3B" w:rsidP="00C0498B">
            <w:pPr>
              <w:widowControl w:val="0"/>
              <w:ind w:hanging="98"/>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auto"/>
          </w:tcPr>
          <w:p w14:paraId="2A8B75BE" w14:textId="3D6A49D4" w:rsidR="00C75D3B" w:rsidRPr="001823ED" w:rsidRDefault="00C75D3B" w:rsidP="00C0498B">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D9D9D9" w:themeFill="background1" w:themeFillShade="D9"/>
          </w:tcPr>
          <w:p w14:paraId="4330B6B7" w14:textId="630AF7E2" w:rsidR="00C75D3B" w:rsidRPr="001823ED" w:rsidRDefault="00C75D3B" w:rsidP="00C0498B">
            <w:pPr>
              <w:widowControl w:val="0"/>
              <w:ind w:hanging="113"/>
              <w:jc w:val="center"/>
              <w:rPr>
                <w:rFonts w:cs="Segoe UI Symbol"/>
                <w:sz w:val="20"/>
                <w:szCs w:val="20"/>
              </w:rPr>
            </w:pPr>
          </w:p>
        </w:tc>
        <w:tc>
          <w:tcPr>
            <w:tcW w:w="809" w:type="dxa"/>
            <w:shd w:val="clear" w:color="auto" w:fill="auto"/>
          </w:tcPr>
          <w:p w14:paraId="3EDE6944" w14:textId="6C25309C" w:rsidR="00C75D3B" w:rsidRPr="001823ED" w:rsidRDefault="00C75D3B" w:rsidP="00C0498B">
            <w:pPr>
              <w:widowControl w:val="0"/>
              <w:ind w:hanging="113"/>
              <w:jc w:val="center"/>
              <w:rPr>
                <w:rFonts w:cs="Segoe UI Symbol"/>
                <w:sz w:val="20"/>
                <w:szCs w:val="20"/>
              </w:rPr>
            </w:pPr>
            <w:r w:rsidRPr="001823ED">
              <w:rPr>
                <w:rFonts w:ascii="Segoe UI Symbol" w:hAnsi="Segoe UI Symbol" w:cs="Segoe UI Symbol"/>
                <w:b/>
                <w:bCs/>
                <w:sz w:val="20"/>
                <w:szCs w:val="20"/>
              </w:rPr>
              <w:t>✓</w:t>
            </w:r>
          </w:p>
        </w:tc>
        <w:tc>
          <w:tcPr>
            <w:tcW w:w="809" w:type="dxa"/>
            <w:shd w:val="clear" w:color="auto" w:fill="auto"/>
          </w:tcPr>
          <w:p w14:paraId="757926EC" w14:textId="77777777" w:rsidR="00C75D3B" w:rsidRPr="001823ED" w:rsidRDefault="00C75D3B" w:rsidP="00C0498B">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D9D9D9" w:themeFill="background1" w:themeFillShade="D9"/>
          </w:tcPr>
          <w:p w14:paraId="43D7280A" w14:textId="77777777" w:rsidR="00C75D3B" w:rsidRPr="001823ED" w:rsidRDefault="00C75D3B" w:rsidP="00C0498B">
            <w:pPr>
              <w:widowControl w:val="0"/>
              <w:ind w:left="113" w:hanging="113"/>
              <w:jc w:val="center"/>
              <w:rPr>
                <w:rFonts w:cs="Segoe UI Symbol"/>
                <w:b/>
                <w:bCs/>
                <w:sz w:val="20"/>
                <w:szCs w:val="20"/>
              </w:rPr>
            </w:pPr>
          </w:p>
        </w:tc>
      </w:tr>
      <w:tr w:rsidR="00C75D3B" w:rsidRPr="001823ED" w14:paraId="7D74F690" w14:textId="77777777" w:rsidTr="00C0498B">
        <w:trPr>
          <w:cantSplit/>
          <w:trHeight w:val="366"/>
        </w:trPr>
        <w:tc>
          <w:tcPr>
            <w:tcW w:w="1128" w:type="dxa"/>
            <w:vMerge/>
            <w:shd w:val="clear" w:color="auto" w:fill="auto"/>
            <w:textDirection w:val="btLr"/>
          </w:tcPr>
          <w:p w14:paraId="4ECF226D" w14:textId="77777777" w:rsidR="00C75D3B" w:rsidRPr="001823ED" w:rsidRDefault="00C75D3B" w:rsidP="00C0498B">
            <w:pPr>
              <w:widowControl w:val="0"/>
              <w:ind w:left="113" w:right="113" w:firstLine="360"/>
            </w:pPr>
          </w:p>
        </w:tc>
        <w:tc>
          <w:tcPr>
            <w:tcW w:w="3264" w:type="dxa"/>
            <w:shd w:val="clear" w:color="auto" w:fill="auto"/>
          </w:tcPr>
          <w:p w14:paraId="7B688D8E" w14:textId="77777777" w:rsidR="00C75D3B" w:rsidRPr="001823ED" w:rsidRDefault="00C75D3B" w:rsidP="00C0498B">
            <w:pPr>
              <w:widowControl w:val="0"/>
              <w:ind w:right="113"/>
              <w:rPr>
                <w:rFonts w:cs="Calibri"/>
                <w:sz w:val="20"/>
                <w:szCs w:val="20"/>
              </w:rPr>
            </w:pPr>
            <w:r w:rsidRPr="001823ED">
              <w:rPr>
                <w:rFonts w:cs="Calibri"/>
                <w:sz w:val="20"/>
                <w:szCs w:val="20"/>
              </w:rPr>
              <w:t>Inclusion of medically indicated PTB</w:t>
            </w:r>
          </w:p>
        </w:tc>
        <w:tc>
          <w:tcPr>
            <w:tcW w:w="809" w:type="dxa"/>
            <w:shd w:val="clear" w:color="auto" w:fill="auto"/>
          </w:tcPr>
          <w:p w14:paraId="5410E5DF" w14:textId="3D5630D1" w:rsidR="00C75D3B" w:rsidRPr="007B0BF4" w:rsidRDefault="00C75D3B" w:rsidP="00C0498B">
            <w:pPr>
              <w:widowControl w:val="0"/>
              <w:ind w:hanging="113"/>
              <w:jc w:val="center"/>
              <w:rPr>
                <w:rFonts w:cs="Segoe UI Symbol"/>
                <w:sz w:val="20"/>
                <w:szCs w:val="20"/>
              </w:rPr>
            </w:pPr>
            <w:r w:rsidRPr="007B0BF4">
              <w:rPr>
                <w:rFonts w:ascii="Segoe UI Symbol" w:hAnsi="Segoe UI Symbol" w:cs="Segoe UI Symbol"/>
                <w:sz w:val="20"/>
                <w:szCs w:val="20"/>
              </w:rPr>
              <w:t>✘</w:t>
            </w:r>
          </w:p>
        </w:tc>
        <w:tc>
          <w:tcPr>
            <w:tcW w:w="809" w:type="dxa"/>
            <w:shd w:val="clear" w:color="auto" w:fill="auto"/>
          </w:tcPr>
          <w:p w14:paraId="30D02231" w14:textId="2A73F90B" w:rsidR="00C75D3B" w:rsidRPr="001823ED" w:rsidRDefault="00C75D3B" w:rsidP="00C0498B">
            <w:pPr>
              <w:widowControl w:val="0"/>
              <w:ind w:hanging="98"/>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D9D9D9" w:themeFill="background1" w:themeFillShade="D9"/>
          </w:tcPr>
          <w:p w14:paraId="3BBC8BA4" w14:textId="554ED45F" w:rsidR="00C75D3B" w:rsidRPr="001823ED" w:rsidRDefault="00C75D3B" w:rsidP="00C0498B">
            <w:pPr>
              <w:widowControl w:val="0"/>
              <w:ind w:hanging="113"/>
              <w:jc w:val="center"/>
              <w:rPr>
                <w:rFonts w:cs="Segoe UI Symbol"/>
                <w:b/>
                <w:bCs/>
                <w:sz w:val="20"/>
                <w:szCs w:val="20"/>
              </w:rPr>
            </w:pPr>
          </w:p>
        </w:tc>
        <w:tc>
          <w:tcPr>
            <w:tcW w:w="809" w:type="dxa"/>
            <w:shd w:val="clear" w:color="auto" w:fill="D9D9D9" w:themeFill="background1" w:themeFillShade="D9"/>
          </w:tcPr>
          <w:p w14:paraId="4B45E440" w14:textId="36D47D48" w:rsidR="00C75D3B" w:rsidRPr="001823ED" w:rsidRDefault="00C75D3B" w:rsidP="00C0498B">
            <w:pPr>
              <w:widowControl w:val="0"/>
              <w:ind w:hanging="113"/>
              <w:jc w:val="center"/>
              <w:rPr>
                <w:rFonts w:cs="Segoe UI Symbol"/>
                <w:b/>
                <w:bCs/>
                <w:sz w:val="20"/>
                <w:szCs w:val="20"/>
              </w:rPr>
            </w:pPr>
          </w:p>
        </w:tc>
        <w:tc>
          <w:tcPr>
            <w:tcW w:w="809" w:type="dxa"/>
            <w:shd w:val="clear" w:color="auto" w:fill="auto"/>
          </w:tcPr>
          <w:p w14:paraId="535244A3" w14:textId="0FE8F388" w:rsidR="00C75D3B" w:rsidRPr="001823ED" w:rsidRDefault="00C75D3B" w:rsidP="00C0498B">
            <w:pPr>
              <w:widowControl w:val="0"/>
              <w:ind w:hanging="113"/>
              <w:jc w:val="center"/>
              <w:rPr>
                <w:rFonts w:cs="Segoe UI Symbol"/>
                <w:b/>
                <w:bCs/>
                <w:sz w:val="20"/>
                <w:szCs w:val="20"/>
              </w:rPr>
            </w:pPr>
            <w:r w:rsidRPr="001823ED">
              <w:rPr>
                <w:rFonts w:ascii="Segoe UI Symbol" w:hAnsi="Segoe UI Symbol" w:cs="Segoe UI Symbol"/>
                <w:sz w:val="20"/>
                <w:szCs w:val="20"/>
              </w:rPr>
              <w:t>✘</w:t>
            </w:r>
          </w:p>
        </w:tc>
        <w:tc>
          <w:tcPr>
            <w:tcW w:w="809" w:type="dxa"/>
            <w:shd w:val="clear" w:color="auto" w:fill="auto"/>
          </w:tcPr>
          <w:p w14:paraId="162015CE" w14:textId="4EB28C64" w:rsidR="00C75D3B" w:rsidRPr="001823ED" w:rsidRDefault="00C75D3B" w:rsidP="00C0498B">
            <w:pPr>
              <w:widowControl w:val="0"/>
              <w:ind w:hanging="113"/>
              <w:jc w:val="center"/>
              <w:rPr>
                <w:rFonts w:cs="Segoe UI Symbol"/>
                <w:b/>
                <w:bCs/>
                <w:sz w:val="20"/>
                <w:szCs w:val="20"/>
              </w:rPr>
            </w:pPr>
            <w:r w:rsidRPr="001823ED">
              <w:rPr>
                <w:rFonts w:ascii="Segoe UI Symbol" w:hAnsi="Segoe UI Symbol" w:cs="Segoe UI Symbol"/>
                <w:b/>
                <w:bCs/>
                <w:sz w:val="20"/>
                <w:szCs w:val="20"/>
              </w:rPr>
              <w:t>✓</w:t>
            </w:r>
          </w:p>
        </w:tc>
        <w:tc>
          <w:tcPr>
            <w:tcW w:w="809" w:type="dxa"/>
            <w:shd w:val="clear" w:color="auto" w:fill="D9D9D9" w:themeFill="background1" w:themeFillShade="D9"/>
          </w:tcPr>
          <w:p w14:paraId="67F14B96" w14:textId="6153B8EC" w:rsidR="00C75D3B" w:rsidRPr="001823ED" w:rsidRDefault="00C75D3B" w:rsidP="00C0498B">
            <w:pPr>
              <w:widowControl w:val="0"/>
              <w:ind w:hanging="113"/>
              <w:jc w:val="center"/>
              <w:rPr>
                <w:rFonts w:cs="Segoe UI Symbol"/>
                <w:b/>
                <w:bCs/>
                <w:sz w:val="20"/>
                <w:szCs w:val="20"/>
              </w:rPr>
            </w:pPr>
          </w:p>
        </w:tc>
      </w:tr>
      <w:tr w:rsidR="00C75D3B" w:rsidRPr="001823ED" w14:paraId="64B66FD2" w14:textId="77777777" w:rsidTr="00C0498B">
        <w:trPr>
          <w:cantSplit/>
          <w:trHeight w:val="366"/>
        </w:trPr>
        <w:tc>
          <w:tcPr>
            <w:tcW w:w="1128" w:type="dxa"/>
            <w:vMerge/>
            <w:shd w:val="clear" w:color="auto" w:fill="auto"/>
          </w:tcPr>
          <w:p w14:paraId="0B23E3C2" w14:textId="77777777" w:rsidR="00C75D3B" w:rsidRPr="001823ED" w:rsidRDefault="00C75D3B" w:rsidP="00C0498B">
            <w:pPr>
              <w:widowControl w:val="0"/>
              <w:ind w:left="113" w:right="113" w:firstLine="360"/>
            </w:pPr>
          </w:p>
        </w:tc>
        <w:tc>
          <w:tcPr>
            <w:tcW w:w="3264" w:type="dxa"/>
            <w:shd w:val="clear" w:color="auto" w:fill="auto"/>
          </w:tcPr>
          <w:p w14:paraId="7AE53D40" w14:textId="77777777" w:rsidR="00C75D3B" w:rsidRPr="001823ED" w:rsidRDefault="00C75D3B" w:rsidP="00C0498B">
            <w:pPr>
              <w:widowControl w:val="0"/>
              <w:ind w:right="113"/>
              <w:rPr>
                <w:sz w:val="20"/>
                <w:szCs w:val="20"/>
              </w:rPr>
            </w:pPr>
            <w:r w:rsidRPr="001823ED">
              <w:rPr>
                <w:rFonts w:cs="Calibri"/>
                <w:sz w:val="20"/>
                <w:szCs w:val="20"/>
              </w:rPr>
              <w:t>Percent of PTB under 34 weeks</w:t>
            </w:r>
          </w:p>
        </w:tc>
        <w:tc>
          <w:tcPr>
            <w:tcW w:w="809" w:type="dxa"/>
            <w:shd w:val="clear" w:color="auto" w:fill="D9D9D9" w:themeFill="background1" w:themeFillShade="D9"/>
          </w:tcPr>
          <w:p w14:paraId="08F7342B" w14:textId="2A2AAFEB" w:rsidR="00C75D3B" w:rsidRPr="007B0BF4" w:rsidRDefault="00C75D3B" w:rsidP="00C0498B">
            <w:pPr>
              <w:widowControl w:val="0"/>
              <w:ind w:left="113" w:hanging="113"/>
              <w:jc w:val="center"/>
              <w:rPr>
                <w:sz w:val="20"/>
                <w:szCs w:val="20"/>
              </w:rPr>
            </w:pPr>
          </w:p>
        </w:tc>
        <w:tc>
          <w:tcPr>
            <w:tcW w:w="809" w:type="dxa"/>
            <w:shd w:val="clear" w:color="auto" w:fill="auto"/>
          </w:tcPr>
          <w:p w14:paraId="06623EEE" w14:textId="77777777" w:rsidR="00C75D3B" w:rsidRPr="001823ED" w:rsidRDefault="00C75D3B" w:rsidP="00C0498B">
            <w:pPr>
              <w:widowControl w:val="0"/>
              <w:ind w:left="113" w:hanging="98"/>
              <w:jc w:val="center"/>
              <w:rPr>
                <w:sz w:val="20"/>
                <w:szCs w:val="20"/>
              </w:rPr>
            </w:pPr>
          </w:p>
        </w:tc>
        <w:tc>
          <w:tcPr>
            <w:tcW w:w="809" w:type="dxa"/>
            <w:shd w:val="clear" w:color="auto" w:fill="auto"/>
          </w:tcPr>
          <w:p w14:paraId="0214EB6F" w14:textId="18D7F1DB" w:rsidR="00C75D3B" w:rsidRPr="001823ED" w:rsidRDefault="00C75D3B" w:rsidP="00C0498B">
            <w:pPr>
              <w:widowControl w:val="0"/>
              <w:ind w:left="113" w:hanging="113"/>
              <w:jc w:val="center"/>
              <w:rPr>
                <w:sz w:val="20"/>
                <w:szCs w:val="20"/>
              </w:rPr>
            </w:pPr>
            <w:r>
              <w:rPr>
                <w:sz w:val="20"/>
                <w:szCs w:val="20"/>
              </w:rPr>
              <w:t>25%</w:t>
            </w:r>
          </w:p>
        </w:tc>
        <w:tc>
          <w:tcPr>
            <w:tcW w:w="809" w:type="dxa"/>
            <w:shd w:val="clear" w:color="auto" w:fill="auto"/>
          </w:tcPr>
          <w:p w14:paraId="7798B2EC" w14:textId="08B8D091" w:rsidR="00C75D3B" w:rsidRPr="001823ED" w:rsidRDefault="00C75D3B" w:rsidP="00C0498B">
            <w:pPr>
              <w:widowControl w:val="0"/>
              <w:ind w:left="113" w:hanging="113"/>
              <w:jc w:val="center"/>
              <w:rPr>
                <w:sz w:val="20"/>
                <w:szCs w:val="20"/>
              </w:rPr>
            </w:pPr>
            <w:r>
              <w:rPr>
                <w:sz w:val="20"/>
                <w:szCs w:val="20"/>
              </w:rPr>
              <w:t>75%</w:t>
            </w:r>
          </w:p>
        </w:tc>
        <w:tc>
          <w:tcPr>
            <w:tcW w:w="809" w:type="dxa"/>
            <w:shd w:val="clear" w:color="auto" w:fill="auto"/>
          </w:tcPr>
          <w:p w14:paraId="38151161" w14:textId="6720BF02" w:rsidR="00C75D3B" w:rsidRPr="001823ED" w:rsidRDefault="00C75D3B" w:rsidP="00C0498B">
            <w:pPr>
              <w:widowControl w:val="0"/>
              <w:ind w:left="113" w:hanging="113"/>
              <w:jc w:val="center"/>
              <w:rPr>
                <w:sz w:val="20"/>
                <w:szCs w:val="20"/>
              </w:rPr>
            </w:pPr>
            <w:r>
              <w:rPr>
                <w:sz w:val="20"/>
                <w:szCs w:val="20"/>
              </w:rPr>
              <w:t>48%</w:t>
            </w:r>
          </w:p>
        </w:tc>
        <w:tc>
          <w:tcPr>
            <w:tcW w:w="809" w:type="dxa"/>
            <w:shd w:val="clear" w:color="auto" w:fill="D9D9D9" w:themeFill="background1" w:themeFillShade="D9"/>
          </w:tcPr>
          <w:p w14:paraId="4B5E8ED5" w14:textId="7E5CDE3A" w:rsidR="00C75D3B" w:rsidRPr="001823ED" w:rsidRDefault="00C75D3B" w:rsidP="00C0498B">
            <w:pPr>
              <w:widowControl w:val="0"/>
              <w:ind w:left="113" w:hanging="113"/>
              <w:jc w:val="center"/>
              <w:rPr>
                <w:sz w:val="16"/>
                <w:szCs w:val="16"/>
              </w:rPr>
            </w:pPr>
          </w:p>
        </w:tc>
        <w:tc>
          <w:tcPr>
            <w:tcW w:w="809" w:type="dxa"/>
            <w:shd w:val="clear" w:color="auto" w:fill="D9D9D9" w:themeFill="background1" w:themeFillShade="D9"/>
          </w:tcPr>
          <w:p w14:paraId="059A5946" w14:textId="0B710F66" w:rsidR="00C75D3B" w:rsidRPr="001823ED" w:rsidRDefault="00C75D3B" w:rsidP="00C0498B">
            <w:pPr>
              <w:widowControl w:val="0"/>
              <w:ind w:left="113" w:hanging="113"/>
              <w:jc w:val="center"/>
              <w:rPr>
                <w:sz w:val="20"/>
                <w:szCs w:val="20"/>
              </w:rPr>
            </w:pPr>
          </w:p>
        </w:tc>
      </w:tr>
      <w:tr w:rsidR="00C75D3B" w:rsidRPr="001823ED" w14:paraId="565A019D" w14:textId="77777777" w:rsidTr="00C0498B">
        <w:trPr>
          <w:trHeight w:val="284"/>
        </w:trPr>
        <w:tc>
          <w:tcPr>
            <w:tcW w:w="1128" w:type="dxa"/>
            <w:shd w:val="clear" w:color="auto" w:fill="auto"/>
          </w:tcPr>
          <w:p w14:paraId="45ECBC49" w14:textId="77777777" w:rsidR="00C75D3B" w:rsidRPr="001823ED" w:rsidRDefault="00C75D3B" w:rsidP="00C0498B">
            <w:pPr>
              <w:widowControl w:val="0"/>
              <w:ind w:firstLine="360"/>
              <w:rPr>
                <w:rFonts w:cs="Calibri"/>
              </w:rPr>
            </w:pPr>
          </w:p>
        </w:tc>
        <w:tc>
          <w:tcPr>
            <w:tcW w:w="3264" w:type="dxa"/>
            <w:shd w:val="clear" w:color="auto" w:fill="auto"/>
          </w:tcPr>
          <w:p w14:paraId="260003B4" w14:textId="77777777" w:rsidR="00C75D3B" w:rsidRPr="001823ED" w:rsidRDefault="00C75D3B" w:rsidP="00C0498B">
            <w:pPr>
              <w:widowControl w:val="0"/>
              <w:rPr>
                <w:rFonts w:cs="Calibri"/>
                <w:sz w:val="20"/>
                <w:szCs w:val="20"/>
              </w:rPr>
            </w:pPr>
            <w:r w:rsidRPr="001823ED">
              <w:rPr>
                <w:rFonts w:cs="Calibri"/>
                <w:sz w:val="20"/>
                <w:szCs w:val="20"/>
              </w:rPr>
              <w:t>Gestation of sampling (weeks)</w:t>
            </w:r>
          </w:p>
        </w:tc>
        <w:tc>
          <w:tcPr>
            <w:tcW w:w="809" w:type="dxa"/>
            <w:shd w:val="clear" w:color="auto" w:fill="auto"/>
          </w:tcPr>
          <w:p w14:paraId="748F0855" w14:textId="674277AE" w:rsidR="00C75D3B" w:rsidRPr="007B0BF4" w:rsidRDefault="00C75D3B" w:rsidP="00C0498B">
            <w:pPr>
              <w:widowControl w:val="0"/>
              <w:ind w:hanging="113"/>
              <w:jc w:val="center"/>
              <w:rPr>
                <w:rFonts w:cs="Calibri"/>
                <w:sz w:val="20"/>
                <w:szCs w:val="20"/>
              </w:rPr>
            </w:pPr>
            <w:r>
              <w:rPr>
                <w:rFonts w:cs="Calibri"/>
                <w:sz w:val="20"/>
                <w:szCs w:val="20"/>
              </w:rPr>
              <w:t>&lt;16</w:t>
            </w:r>
          </w:p>
        </w:tc>
        <w:tc>
          <w:tcPr>
            <w:tcW w:w="809" w:type="dxa"/>
            <w:shd w:val="clear" w:color="auto" w:fill="auto"/>
          </w:tcPr>
          <w:p w14:paraId="56741900" w14:textId="14305FFE" w:rsidR="00C75D3B" w:rsidRPr="001823ED" w:rsidRDefault="00C75D3B" w:rsidP="00C0498B">
            <w:pPr>
              <w:widowControl w:val="0"/>
              <w:ind w:hanging="98"/>
              <w:jc w:val="center"/>
              <w:rPr>
                <w:rFonts w:cs="Calibri"/>
                <w:sz w:val="20"/>
                <w:szCs w:val="20"/>
              </w:rPr>
            </w:pPr>
            <w:r>
              <w:rPr>
                <w:rFonts w:cs="Calibri"/>
                <w:sz w:val="20"/>
                <w:szCs w:val="20"/>
              </w:rPr>
              <w:t>16-20</w:t>
            </w:r>
          </w:p>
        </w:tc>
        <w:tc>
          <w:tcPr>
            <w:tcW w:w="809" w:type="dxa"/>
            <w:shd w:val="clear" w:color="auto" w:fill="auto"/>
          </w:tcPr>
          <w:p w14:paraId="3EF00458" w14:textId="1D890A13" w:rsidR="00C75D3B" w:rsidRPr="001823ED" w:rsidRDefault="00C75D3B" w:rsidP="00C0498B">
            <w:pPr>
              <w:widowControl w:val="0"/>
              <w:ind w:hanging="113"/>
              <w:jc w:val="center"/>
              <w:rPr>
                <w:rFonts w:cs="Calibri"/>
                <w:sz w:val="20"/>
                <w:szCs w:val="20"/>
              </w:rPr>
            </w:pPr>
            <w:r>
              <w:rPr>
                <w:rFonts w:cs="Calibri"/>
                <w:sz w:val="20"/>
                <w:szCs w:val="20"/>
              </w:rPr>
              <w:t>12-27</w:t>
            </w:r>
          </w:p>
        </w:tc>
        <w:tc>
          <w:tcPr>
            <w:tcW w:w="809" w:type="dxa"/>
            <w:shd w:val="clear" w:color="auto" w:fill="auto"/>
          </w:tcPr>
          <w:p w14:paraId="18E37AAA" w14:textId="4A0E31C5" w:rsidR="00C75D3B" w:rsidRPr="001823ED" w:rsidRDefault="00C75D3B" w:rsidP="00C0498B">
            <w:pPr>
              <w:widowControl w:val="0"/>
              <w:jc w:val="center"/>
              <w:rPr>
                <w:rFonts w:cs="Calibri"/>
                <w:sz w:val="20"/>
                <w:szCs w:val="20"/>
              </w:rPr>
            </w:pPr>
            <w:r>
              <w:rPr>
                <w:rFonts w:cs="Calibri"/>
                <w:sz w:val="20"/>
                <w:szCs w:val="20"/>
              </w:rPr>
              <w:t>17-21</w:t>
            </w:r>
          </w:p>
        </w:tc>
        <w:tc>
          <w:tcPr>
            <w:tcW w:w="809" w:type="dxa"/>
            <w:shd w:val="clear" w:color="auto" w:fill="auto"/>
          </w:tcPr>
          <w:p w14:paraId="69E5854D" w14:textId="1B5353EE" w:rsidR="00C75D3B" w:rsidRPr="001823ED" w:rsidRDefault="00C75D3B" w:rsidP="00C0498B">
            <w:pPr>
              <w:widowControl w:val="0"/>
              <w:ind w:hanging="113"/>
              <w:jc w:val="center"/>
              <w:rPr>
                <w:rFonts w:cs="Calibri"/>
                <w:sz w:val="20"/>
                <w:szCs w:val="20"/>
              </w:rPr>
            </w:pPr>
            <w:r>
              <w:rPr>
                <w:rFonts w:cs="Calibri"/>
                <w:sz w:val="20"/>
                <w:szCs w:val="20"/>
              </w:rPr>
              <w:t>12-23</w:t>
            </w:r>
          </w:p>
        </w:tc>
        <w:tc>
          <w:tcPr>
            <w:tcW w:w="809" w:type="dxa"/>
            <w:shd w:val="clear" w:color="auto" w:fill="auto"/>
          </w:tcPr>
          <w:p w14:paraId="2537C7FF" w14:textId="371EEA67" w:rsidR="00C75D3B" w:rsidRPr="00F650FB" w:rsidRDefault="00C75D3B" w:rsidP="00C0498B">
            <w:pPr>
              <w:widowControl w:val="0"/>
              <w:ind w:hanging="113"/>
              <w:jc w:val="center"/>
              <w:rPr>
                <w:rFonts w:cs="Calibri"/>
                <w:sz w:val="20"/>
                <w:szCs w:val="20"/>
                <w:vertAlign w:val="superscript"/>
              </w:rPr>
            </w:pPr>
            <w:r>
              <w:rPr>
                <w:rFonts w:cs="Calibri"/>
                <w:sz w:val="20"/>
                <w:szCs w:val="20"/>
              </w:rPr>
              <w:t>16-31</w:t>
            </w:r>
            <w:r>
              <w:rPr>
                <w:rFonts w:cs="Calibri"/>
                <w:sz w:val="20"/>
                <w:szCs w:val="20"/>
                <w:vertAlign w:val="superscript"/>
              </w:rPr>
              <w:t>+6</w:t>
            </w:r>
          </w:p>
        </w:tc>
        <w:tc>
          <w:tcPr>
            <w:tcW w:w="809" w:type="dxa"/>
            <w:shd w:val="clear" w:color="auto" w:fill="auto"/>
          </w:tcPr>
          <w:p w14:paraId="68004020" w14:textId="6E2C816C" w:rsidR="00C75D3B" w:rsidRPr="00835012" w:rsidRDefault="00C75D3B" w:rsidP="00C0498B">
            <w:pPr>
              <w:widowControl w:val="0"/>
              <w:ind w:hanging="113"/>
              <w:jc w:val="center"/>
              <w:rPr>
                <w:rFonts w:cs="Calibri"/>
                <w:sz w:val="20"/>
                <w:szCs w:val="20"/>
                <w:vertAlign w:val="superscript"/>
              </w:rPr>
            </w:pPr>
            <w:r>
              <w:rPr>
                <w:rFonts w:cs="Calibri"/>
                <w:sz w:val="20"/>
                <w:szCs w:val="20"/>
              </w:rPr>
              <w:t>8-birth</w:t>
            </w:r>
          </w:p>
        </w:tc>
      </w:tr>
      <w:tr w:rsidR="00C75D3B" w:rsidRPr="001823ED" w14:paraId="6F9001E9" w14:textId="77777777" w:rsidTr="00C0498B">
        <w:trPr>
          <w:trHeight w:val="284"/>
        </w:trPr>
        <w:tc>
          <w:tcPr>
            <w:tcW w:w="1128" w:type="dxa"/>
            <w:vMerge w:val="restart"/>
            <w:shd w:val="clear" w:color="auto" w:fill="auto"/>
            <w:textDirection w:val="btLr"/>
          </w:tcPr>
          <w:p w14:paraId="55FCD819" w14:textId="77777777" w:rsidR="00C75D3B" w:rsidRPr="001823ED" w:rsidRDefault="00C75D3B" w:rsidP="00C0498B">
            <w:pPr>
              <w:widowControl w:val="0"/>
              <w:jc w:val="center"/>
              <w:rPr>
                <w:rFonts w:cs="Calibri"/>
              </w:rPr>
            </w:pPr>
            <w:r w:rsidRPr="001823ED">
              <w:rPr>
                <w:rFonts w:cs="Calibri"/>
              </w:rPr>
              <w:t>Laboratory methods</w:t>
            </w:r>
          </w:p>
        </w:tc>
        <w:tc>
          <w:tcPr>
            <w:tcW w:w="3264" w:type="dxa"/>
            <w:shd w:val="clear" w:color="auto" w:fill="auto"/>
          </w:tcPr>
          <w:p w14:paraId="5FFB1EC8" w14:textId="77777777" w:rsidR="00C75D3B" w:rsidRPr="001823ED" w:rsidRDefault="00C75D3B" w:rsidP="00C0498B">
            <w:pPr>
              <w:widowControl w:val="0"/>
              <w:rPr>
                <w:rFonts w:cs="Calibri"/>
                <w:sz w:val="20"/>
                <w:szCs w:val="20"/>
              </w:rPr>
            </w:pPr>
            <w:r w:rsidRPr="001823ED">
              <w:rPr>
                <w:rFonts w:cs="Calibri"/>
                <w:sz w:val="20"/>
                <w:szCs w:val="20"/>
              </w:rPr>
              <w:t>16s rRNA sequencing</w:t>
            </w:r>
          </w:p>
        </w:tc>
        <w:tc>
          <w:tcPr>
            <w:tcW w:w="809" w:type="dxa"/>
            <w:shd w:val="clear" w:color="auto" w:fill="auto"/>
          </w:tcPr>
          <w:p w14:paraId="7A6997F1" w14:textId="1383E323" w:rsidR="00C75D3B" w:rsidRPr="007B0BF4"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7DD7B6B5" w14:textId="5EA5A3A5" w:rsidR="00C75D3B" w:rsidRPr="001823ED" w:rsidRDefault="00C75D3B" w:rsidP="00C0498B">
            <w:pPr>
              <w:widowControl w:val="0"/>
              <w:ind w:hanging="98"/>
              <w:jc w:val="center"/>
              <w:rPr>
                <w:sz w:val="20"/>
                <w:szCs w:val="20"/>
              </w:rPr>
            </w:pPr>
            <w:r w:rsidRPr="001823ED">
              <w:rPr>
                <w:rFonts w:ascii="Segoe UI Symbol" w:hAnsi="Segoe UI Symbol" w:cs="Segoe UI Symbol"/>
                <w:b/>
                <w:bCs/>
                <w:sz w:val="20"/>
                <w:szCs w:val="20"/>
              </w:rPr>
              <w:t>✓</w:t>
            </w:r>
          </w:p>
        </w:tc>
        <w:tc>
          <w:tcPr>
            <w:tcW w:w="809" w:type="dxa"/>
            <w:shd w:val="clear" w:color="auto" w:fill="auto"/>
          </w:tcPr>
          <w:p w14:paraId="5789290D" w14:textId="277503A5"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r w:rsidRPr="000F62D4">
              <w:rPr>
                <w:noProof/>
                <w:sz w:val="16"/>
                <w:szCs w:val="16"/>
                <w:vertAlign w:val="superscript"/>
              </w:rPr>
              <w:t>¶</w:t>
            </w:r>
          </w:p>
        </w:tc>
        <w:tc>
          <w:tcPr>
            <w:tcW w:w="809" w:type="dxa"/>
            <w:shd w:val="clear" w:color="auto" w:fill="auto"/>
          </w:tcPr>
          <w:p w14:paraId="43F8B5C2" w14:textId="158347F1"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3761ABBE" w14:textId="46C01320"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r>
              <w:rPr>
                <w:rFonts w:ascii="Segoe UI Symbol" w:hAnsi="Segoe UI Symbol" w:cs="Segoe UI Symbol"/>
                <w:sz w:val="20"/>
                <w:szCs w:val="20"/>
              </w:rPr>
              <w:t>*</w:t>
            </w:r>
          </w:p>
        </w:tc>
        <w:tc>
          <w:tcPr>
            <w:tcW w:w="809" w:type="dxa"/>
            <w:shd w:val="clear" w:color="auto" w:fill="auto"/>
          </w:tcPr>
          <w:p w14:paraId="390670D0" w14:textId="0D1DEF5B"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4722BEC4" w14:textId="3BAF5460"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C75D3B" w:rsidRPr="001823ED" w14:paraId="38118732" w14:textId="77777777" w:rsidTr="00C0498B">
        <w:trPr>
          <w:trHeight w:val="284"/>
        </w:trPr>
        <w:tc>
          <w:tcPr>
            <w:tcW w:w="1128" w:type="dxa"/>
            <w:vMerge/>
            <w:shd w:val="clear" w:color="auto" w:fill="auto"/>
            <w:textDirection w:val="btLr"/>
          </w:tcPr>
          <w:p w14:paraId="02A64BAC" w14:textId="77777777" w:rsidR="00C75D3B" w:rsidRPr="001823ED" w:rsidRDefault="00C75D3B" w:rsidP="00C0498B">
            <w:pPr>
              <w:widowControl w:val="0"/>
              <w:ind w:firstLine="360"/>
              <w:rPr>
                <w:rFonts w:cs="Calibri"/>
              </w:rPr>
            </w:pPr>
          </w:p>
        </w:tc>
        <w:tc>
          <w:tcPr>
            <w:tcW w:w="3264" w:type="dxa"/>
            <w:shd w:val="clear" w:color="auto" w:fill="auto"/>
          </w:tcPr>
          <w:p w14:paraId="40B1BB0F" w14:textId="77777777" w:rsidR="00C75D3B" w:rsidRPr="001823ED" w:rsidRDefault="00C75D3B" w:rsidP="00C0498B">
            <w:pPr>
              <w:widowControl w:val="0"/>
              <w:rPr>
                <w:rFonts w:cs="Calibri"/>
                <w:sz w:val="20"/>
                <w:szCs w:val="20"/>
              </w:rPr>
            </w:pPr>
            <w:r w:rsidRPr="001823ED">
              <w:rPr>
                <w:rFonts w:cs="Calibri"/>
                <w:sz w:val="20"/>
                <w:szCs w:val="20"/>
              </w:rPr>
              <w:t>Variable region sequenced</w:t>
            </w:r>
          </w:p>
        </w:tc>
        <w:tc>
          <w:tcPr>
            <w:tcW w:w="809" w:type="dxa"/>
            <w:shd w:val="clear" w:color="auto" w:fill="auto"/>
          </w:tcPr>
          <w:p w14:paraId="342A0FF7" w14:textId="3FC8DCA5" w:rsidR="00C75D3B" w:rsidRPr="007B0BF4" w:rsidRDefault="00C75D3B" w:rsidP="00C0498B">
            <w:pPr>
              <w:widowControl w:val="0"/>
              <w:jc w:val="center"/>
              <w:rPr>
                <w:rFonts w:cs="Calibri"/>
                <w:sz w:val="20"/>
                <w:szCs w:val="20"/>
              </w:rPr>
            </w:pPr>
            <w:r>
              <w:rPr>
                <w:rFonts w:cs="Calibri"/>
                <w:sz w:val="20"/>
                <w:szCs w:val="20"/>
              </w:rPr>
              <w:t>4</w:t>
            </w:r>
          </w:p>
        </w:tc>
        <w:tc>
          <w:tcPr>
            <w:tcW w:w="809" w:type="dxa"/>
            <w:shd w:val="clear" w:color="auto" w:fill="auto"/>
          </w:tcPr>
          <w:p w14:paraId="149FD44D" w14:textId="511A8173" w:rsidR="00C75D3B" w:rsidRPr="001823ED" w:rsidRDefault="00C75D3B" w:rsidP="00C0498B">
            <w:pPr>
              <w:widowControl w:val="0"/>
              <w:ind w:hanging="98"/>
              <w:jc w:val="center"/>
              <w:rPr>
                <w:sz w:val="20"/>
                <w:szCs w:val="20"/>
              </w:rPr>
            </w:pPr>
            <w:r>
              <w:rPr>
                <w:sz w:val="20"/>
                <w:szCs w:val="20"/>
              </w:rPr>
              <w:t>1-3</w:t>
            </w:r>
          </w:p>
        </w:tc>
        <w:tc>
          <w:tcPr>
            <w:tcW w:w="809" w:type="dxa"/>
            <w:shd w:val="clear" w:color="auto" w:fill="D9D9D9" w:themeFill="background1" w:themeFillShade="D9"/>
          </w:tcPr>
          <w:p w14:paraId="52A05860" w14:textId="10D16E0C" w:rsidR="00C75D3B" w:rsidRPr="001823ED" w:rsidRDefault="00C75D3B" w:rsidP="00C0498B">
            <w:pPr>
              <w:widowControl w:val="0"/>
              <w:ind w:hanging="113"/>
              <w:jc w:val="center"/>
              <w:rPr>
                <w:rFonts w:cs="Calibri"/>
                <w:sz w:val="20"/>
                <w:szCs w:val="20"/>
              </w:rPr>
            </w:pPr>
          </w:p>
        </w:tc>
        <w:tc>
          <w:tcPr>
            <w:tcW w:w="809" w:type="dxa"/>
            <w:shd w:val="clear" w:color="auto" w:fill="auto"/>
          </w:tcPr>
          <w:p w14:paraId="6C6B42E0" w14:textId="6F72EC26" w:rsidR="00C75D3B" w:rsidRPr="001823ED" w:rsidRDefault="00C75D3B" w:rsidP="00C0498B">
            <w:pPr>
              <w:widowControl w:val="0"/>
              <w:ind w:hanging="113"/>
              <w:jc w:val="center"/>
              <w:rPr>
                <w:rFonts w:cs="Calibri"/>
                <w:sz w:val="20"/>
                <w:szCs w:val="20"/>
              </w:rPr>
            </w:pPr>
            <w:r>
              <w:rPr>
                <w:rFonts w:cs="Calibri"/>
                <w:sz w:val="20"/>
                <w:szCs w:val="20"/>
              </w:rPr>
              <w:t>3-5</w:t>
            </w:r>
          </w:p>
        </w:tc>
        <w:tc>
          <w:tcPr>
            <w:tcW w:w="809" w:type="dxa"/>
            <w:shd w:val="clear" w:color="auto" w:fill="D9D9D9" w:themeFill="background1" w:themeFillShade="D9"/>
          </w:tcPr>
          <w:p w14:paraId="69F169B5" w14:textId="7BCA2327" w:rsidR="00C75D3B" w:rsidRPr="001823ED" w:rsidRDefault="00C75D3B" w:rsidP="00C0498B">
            <w:pPr>
              <w:widowControl w:val="0"/>
              <w:ind w:right="-112" w:hanging="113"/>
              <w:jc w:val="center"/>
              <w:rPr>
                <w:rFonts w:cs="Calibri"/>
                <w:sz w:val="20"/>
                <w:szCs w:val="20"/>
              </w:rPr>
            </w:pPr>
          </w:p>
        </w:tc>
        <w:tc>
          <w:tcPr>
            <w:tcW w:w="809" w:type="dxa"/>
            <w:shd w:val="clear" w:color="auto" w:fill="auto"/>
          </w:tcPr>
          <w:p w14:paraId="6D7138F7" w14:textId="605AF76A" w:rsidR="00C75D3B" w:rsidRPr="001823ED" w:rsidRDefault="00C75D3B" w:rsidP="00C0498B">
            <w:pPr>
              <w:widowControl w:val="0"/>
              <w:ind w:hanging="113"/>
              <w:jc w:val="center"/>
              <w:rPr>
                <w:rFonts w:cs="Calibri"/>
                <w:sz w:val="20"/>
                <w:szCs w:val="20"/>
              </w:rPr>
            </w:pPr>
            <w:r>
              <w:rPr>
                <w:rFonts w:cs="Calibri"/>
                <w:sz w:val="20"/>
                <w:szCs w:val="20"/>
              </w:rPr>
              <w:t>1-2</w:t>
            </w:r>
          </w:p>
        </w:tc>
        <w:tc>
          <w:tcPr>
            <w:tcW w:w="809" w:type="dxa"/>
            <w:shd w:val="clear" w:color="auto" w:fill="auto"/>
          </w:tcPr>
          <w:p w14:paraId="2BA3515F" w14:textId="2D103BD6" w:rsidR="00C75D3B" w:rsidRPr="001823ED" w:rsidRDefault="00C75D3B" w:rsidP="00C0498B">
            <w:pPr>
              <w:widowControl w:val="0"/>
              <w:ind w:hanging="113"/>
              <w:jc w:val="center"/>
              <w:rPr>
                <w:rFonts w:cs="Calibri"/>
                <w:sz w:val="20"/>
                <w:szCs w:val="20"/>
              </w:rPr>
            </w:pPr>
            <w:r>
              <w:rPr>
                <w:rFonts w:cs="Calibri"/>
                <w:sz w:val="20"/>
                <w:szCs w:val="20"/>
              </w:rPr>
              <w:t>1-3</w:t>
            </w:r>
          </w:p>
        </w:tc>
      </w:tr>
      <w:tr w:rsidR="00C75D3B" w:rsidRPr="001823ED" w14:paraId="64EB8C8E" w14:textId="77777777" w:rsidTr="00C0498B">
        <w:trPr>
          <w:trHeight w:val="284"/>
        </w:trPr>
        <w:tc>
          <w:tcPr>
            <w:tcW w:w="1128" w:type="dxa"/>
            <w:vMerge/>
            <w:shd w:val="clear" w:color="auto" w:fill="auto"/>
          </w:tcPr>
          <w:p w14:paraId="137C6A33" w14:textId="77777777" w:rsidR="00C75D3B" w:rsidRPr="001823ED" w:rsidRDefault="00C75D3B" w:rsidP="00C0498B">
            <w:pPr>
              <w:widowControl w:val="0"/>
              <w:ind w:firstLine="360"/>
              <w:rPr>
                <w:rFonts w:cs="Calibri"/>
              </w:rPr>
            </w:pPr>
          </w:p>
        </w:tc>
        <w:tc>
          <w:tcPr>
            <w:tcW w:w="3264" w:type="dxa"/>
            <w:shd w:val="clear" w:color="auto" w:fill="auto"/>
          </w:tcPr>
          <w:p w14:paraId="2702E29F" w14:textId="77777777" w:rsidR="00C75D3B" w:rsidRPr="001823ED" w:rsidRDefault="00C75D3B" w:rsidP="00C0498B">
            <w:pPr>
              <w:widowControl w:val="0"/>
              <w:rPr>
                <w:rFonts w:cs="Calibri"/>
                <w:sz w:val="20"/>
                <w:szCs w:val="20"/>
              </w:rPr>
            </w:pPr>
            <w:r w:rsidRPr="001823ED">
              <w:rPr>
                <w:rFonts w:cs="Calibri"/>
                <w:sz w:val="20"/>
                <w:szCs w:val="20"/>
              </w:rPr>
              <w:t>qPCR of 16s rRNA gene</w:t>
            </w:r>
          </w:p>
        </w:tc>
        <w:tc>
          <w:tcPr>
            <w:tcW w:w="809" w:type="dxa"/>
            <w:shd w:val="clear" w:color="auto" w:fill="auto"/>
          </w:tcPr>
          <w:p w14:paraId="47650616" w14:textId="66F45E06" w:rsidR="00C75D3B" w:rsidRPr="007B0BF4" w:rsidRDefault="00C75D3B" w:rsidP="00C0498B">
            <w:pPr>
              <w:widowControl w:val="0"/>
              <w:ind w:hanging="113"/>
              <w:jc w:val="center"/>
              <w:rPr>
                <w:rFonts w:cs="Calibri"/>
                <w:sz w:val="20"/>
                <w:szCs w:val="20"/>
              </w:rPr>
            </w:pPr>
            <w:r w:rsidRPr="007B0BF4">
              <w:rPr>
                <w:rFonts w:ascii="Segoe UI Symbol" w:hAnsi="Segoe UI Symbol" w:cs="Segoe UI Symbol"/>
                <w:sz w:val="20"/>
                <w:szCs w:val="20"/>
              </w:rPr>
              <w:t>✘</w:t>
            </w:r>
          </w:p>
        </w:tc>
        <w:tc>
          <w:tcPr>
            <w:tcW w:w="809" w:type="dxa"/>
            <w:shd w:val="clear" w:color="auto" w:fill="auto"/>
          </w:tcPr>
          <w:p w14:paraId="723F6FF2" w14:textId="3F15DE34" w:rsidR="00C75D3B" w:rsidRPr="001823ED" w:rsidRDefault="00C75D3B" w:rsidP="00C0498B">
            <w:pPr>
              <w:widowControl w:val="0"/>
              <w:ind w:hanging="98"/>
              <w:jc w:val="center"/>
              <w:rPr>
                <w:sz w:val="20"/>
                <w:szCs w:val="20"/>
              </w:rPr>
            </w:pPr>
            <w:r w:rsidRPr="001823ED">
              <w:rPr>
                <w:rFonts w:ascii="Segoe UI Symbol" w:hAnsi="Segoe UI Symbol" w:cs="Segoe UI Symbol"/>
                <w:b/>
                <w:bCs/>
                <w:sz w:val="20"/>
                <w:szCs w:val="20"/>
              </w:rPr>
              <w:t>✓</w:t>
            </w:r>
          </w:p>
        </w:tc>
        <w:tc>
          <w:tcPr>
            <w:tcW w:w="809" w:type="dxa"/>
            <w:shd w:val="clear" w:color="auto" w:fill="auto"/>
          </w:tcPr>
          <w:p w14:paraId="06B6922D" w14:textId="5FA59EB3"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2512742F" w14:textId="77DA7DAB"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D9D9D9" w:themeFill="background1" w:themeFillShade="D9"/>
          </w:tcPr>
          <w:p w14:paraId="4FFFEC84" w14:textId="17B8F33F" w:rsidR="00C75D3B" w:rsidRPr="001823ED" w:rsidRDefault="00C75D3B" w:rsidP="00C0498B">
            <w:pPr>
              <w:widowControl w:val="0"/>
              <w:ind w:hanging="113"/>
              <w:jc w:val="center"/>
              <w:rPr>
                <w:rFonts w:cs="Calibri"/>
                <w:sz w:val="20"/>
                <w:szCs w:val="20"/>
              </w:rPr>
            </w:pPr>
          </w:p>
        </w:tc>
        <w:tc>
          <w:tcPr>
            <w:tcW w:w="809" w:type="dxa"/>
            <w:shd w:val="clear" w:color="auto" w:fill="auto"/>
          </w:tcPr>
          <w:p w14:paraId="28215BB2" w14:textId="26232A48"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22C78A0B" w14:textId="24CE4DC6"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r>
      <w:tr w:rsidR="00C75D3B" w:rsidRPr="001823ED" w14:paraId="08520C29" w14:textId="77777777" w:rsidTr="00C0498B">
        <w:trPr>
          <w:trHeight w:val="284"/>
        </w:trPr>
        <w:tc>
          <w:tcPr>
            <w:tcW w:w="1128" w:type="dxa"/>
            <w:vMerge/>
            <w:shd w:val="clear" w:color="auto" w:fill="auto"/>
          </w:tcPr>
          <w:p w14:paraId="3B7C1CBF" w14:textId="77777777" w:rsidR="00C75D3B" w:rsidRPr="001823ED" w:rsidRDefault="00C75D3B" w:rsidP="00C0498B">
            <w:pPr>
              <w:widowControl w:val="0"/>
              <w:ind w:firstLine="360"/>
              <w:rPr>
                <w:rFonts w:cs="Calibri"/>
              </w:rPr>
            </w:pPr>
          </w:p>
        </w:tc>
        <w:tc>
          <w:tcPr>
            <w:tcW w:w="3264" w:type="dxa"/>
            <w:shd w:val="clear" w:color="auto" w:fill="auto"/>
          </w:tcPr>
          <w:p w14:paraId="23679A37" w14:textId="42296139" w:rsidR="00C75D3B" w:rsidRPr="001823ED" w:rsidRDefault="00C75D3B" w:rsidP="00C0498B">
            <w:pPr>
              <w:widowControl w:val="0"/>
              <w:rPr>
                <w:rFonts w:cs="Calibri"/>
                <w:sz w:val="20"/>
                <w:szCs w:val="20"/>
              </w:rPr>
            </w:pPr>
            <w:r w:rsidRPr="001823ED">
              <w:rPr>
                <w:sz w:val="20"/>
                <w:szCs w:val="20"/>
              </w:rPr>
              <w:t>Alternate NGS of eukaryotic DNA</w:t>
            </w:r>
          </w:p>
        </w:tc>
        <w:tc>
          <w:tcPr>
            <w:tcW w:w="809" w:type="dxa"/>
            <w:shd w:val="clear" w:color="auto" w:fill="auto"/>
          </w:tcPr>
          <w:p w14:paraId="3D084B7C" w14:textId="47C809E9" w:rsidR="00C75D3B" w:rsidRPr="007B0BF4" w:rsidRDefault="00C75D3B" w:rsidP="00C0498B">
            <w:pPr>
              <w:widowControl w:val="0"/>
              <w:ind w:hanging="113"/>
              <w:jc w:val="center"/>
              <w:rPr>
                <w:rFonts w:cs="Calibri"/>
                <w:sz w:val="20"/>
                <w:szCs w:val="20"/>
              </w:rPr>
            </w:pPr>
            <w:r w:rsidRPr="007B0BF4">
              <w:rPr>
                <w:rFonts w:ascii="Segoe UI Symbol" w:hAnsi="Segoe UI Symbol" w:cs="Segoe UI Symbol"/>
                <w:sz w:val="20"/>
                <w:szCs w:val="20"/>
              </w:rPr>
              <w:t>✘</w:t>
            </w:r>
          </w:p>
        </w:tc>
        <w:tc>
          <w:tcPr>
            <w:tcW w:w="809" w:type="dxa"/>
            <w:shd w:val="clear" w:color="auto" w:fill="auto"/>
          </w:tcPr>
          <w:p w14:paraId="2150DDCF" w14:textId="44FA4004" w:rsidR="00C75D3B" w:rsidRPr="001823ED" w:rsidRDefault="00C75D3B" w:rsidP="00C0498B">
            <w:pPr>
              <w:widowControl w:val="0"/>
              <w:ind w:hanging="98"/>
              <w:jc w:val="center"/>
              <w:rPr>
                <w:sz w:val="20"/>
                <w:szCs w:val="20"/>
              </w:rPr>
            </w:pPr>
            <w:r w:rsidRPr="001823ED">
              <w:rPr>
                <w:rFonts w:ascii="Segoe UI Symbol" w:hAnsi="Segoe UI Symbol" w:cs="Segoe UI Symbol"/>
                <w:b/>
                <w:bCs/>
                <w:sz w:val="20"/>
                <w:szCs w:val="20"/>
              </w:rPr>
              <w:t>✓</w:t>
            </w:r>
          </w:p>
        </w:tc>
        <w:tc>
          <w:tcPr>
            <w:tcW w:w="809" w:type="dxa"/>
            <w:shd w:val="clear" w:color="auto" w:fill="auto"/>
          </w:tcPr>
          <w:p w14:paraId="365A1875" w14:textId="20DC655D"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39690B35" w14:textId="1413F9E4"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0DDFCDC5" w14:textId="4C1E27DE"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5DE5A60D" w14:textId="2E19D450"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4E20365C" w14:textId="15ADF1A1" w:rsidR="00C75D3B" w:rsidRPr="001823ED" w:rsidRDefault="00C75D3B" w:rsidP="00C0498B">
            <w:pPr>
              <w:widowControl w:val="0"/>
              <w:ind w:hanging="113"/>
              <w:jc w:val="center"/>
              <w:rPr>
                <w:rFonts w:cs="Calibri"/>
                <w:sz w:val="20"/>
                <w:szCs w:val="20"/>
              </w:rPr>
            </w:pPr>
            <w:r w:rsidRPr="001823ED">
              <w:rPr>
                <w:rFonts w:ascii="Segoe UI Symbol" w:hAnsi="Segoe UI Symbol" w:cs="Segoe UI Symbol"/>
                <w:b/>
                <w:bCs/>
                <w:sz w:val="20"/>
                <w:szCs w:val="20"/>
              </w:rPr>
              <w:t>✓</w:t>
            </w:r>
          </w:p>
        </w:tc>
      </w:tr>
      <w:tr w:rsidR="00C32594" w:rsidRPr="001823ED" w14:paraId="0FA0F51C" w14:textId="77777777" w:rsidTr="00C0498B">
        <w:trPr>
          <w:trHeight w:val="247"/>
        </w:trPr>
        <w:tc>
          <w:tcPr>
            <w:tcW w:w="1128" w:type="dxa"/>
            <w:vMerge w:val="restart"/>
            <w:shd w:val="clear" w:color="auto" w:fill="auto"/>
            <w:textDirection w:val="btLr"/>
          </w:tcPr>
          <w:p w14:paraId="070C276C" w14:textId="1329E9CD" w:rsidR="00C32594" w:rsidRPr="001823ED" w:rsidRDefault="00C32594" w:rsidP="00C32594">
            <w:pPr>
              <w:widowControl w:val="0"/>
              <w:ind w:left="113" w:right="113"/>
              <w:jc w:val="center"/>
              <w:rPr>
                <w:rFonts w:cs="Calibri"/>
              </w:rPr>
            </w:pPr>
            <w:r>
              <w:rPr>
                <w:rFonts w:cs="Calibri"/>
              </w:rPr>
              <w:t>Ethnicity</w:t>
            </w:r>
          </w:p>
        </w:tc>
        <w:tc>
          <w:tcPr>
            <w:tcW w:w="3264" w:type="dxa"/>
            <w:shd w:val="clear" w:color="auto" w:fill="auto"/>
          </w:tcPr>
          <w:p w14:paraId="7850FD39" w14:textId="39ED5850" w:rsidR="00C32594" w:rsidRPr="001823ED" w:rsidRDefault="00C32594" w:rsidP="00C32594">
            <w:pPr>
              <w:widowControl w:val="0"/>
              <w:rPr>
                <w:rFonts w:cs="Calibri"/>
                <w:sz w:val="20"/>
                <w:szCs w:val="20"/>
              </w:rPr>
            </w:pPr>
            <w:r w:rsidRPr="001823ED">
              <w:rPr>
                <w:rFonts w:cs="Calibri"/>
                <w:sz w:val="20"/>
                <w:szCs w:val="20"/>
              </w:rPr>
              <w:t>Asian</w:t>
            </w:r>
          </w:p>
        </w:tc>
        <w:tc>
          <w:tcPr>
            <w:tcW w:w="809" w:type="dxa"/>
            <w:shd w:val="clear" w:color="auto" w:fill="D9D9D9" w:themeFill="background1" w:themeFillShade="D9"/>
          </w:tcPr>
          <w:p w14:paraId="560F6D3D" w14:textId="77777777" w:rsidR="00C32594" w:rsidRPr="007B0BF4" w:rsidRDefault="00C32594" w:rsidP="00C32594">
            <w:pPr>
              <w:widowControl w:val="0"/>
              <w:ind w:hanging="113"/>
              <w:jc w:val="center"/>
              <w:rPr>
                <w:rFonts w:cs="Segoe UI Symbol"/>
                <w:sz w:val="20"/>
                <w:szCs w:val="20"/>
              </w:rPr>
            </w:pPr>
          </w:p>
        </w:tc>
        <w:tc>
          <w:tcPr>
            <w:tcW w:w="809" w:type="dxa"/>
            <w:shd w:val="clear" w:color="auto" w:fill="auto"/>
          </w:tcPr>
          <w:p w14:paraId="28DEAEFA" w14:textId="5E35DEB0" w:rsidR="00C32594" w:rsidRPr="00DC4234" w:rsidRDefault="00C32594" w:rsidP="00C32594">
            <w:pPr>
              <w:widowControl w:val="0"/>
              <w:ind w:hanging="98"/>
              <w:jc w:val="center"/>
              <w:rPr>
                <w:rFonts w:cs="Segoe UI Symbol"/>
                <w:sz w:val="20"/>
                <w:szCs w:val="20"/>
              </w:rPr>
            </w:pPr>
            <w:r>
              <w:rPr>
                <w:sz w:val="20"/>
                <w:szCs w:val="20"/>
              </w:rPr>
              <w:t>100%</w:t>
            </w:r>
          </w:p>
        </w:tc>
        <w:tc>
          <w:tcPr>
            <w:tcW w:w="809" w:type="dxa"/>
            <w:shd w:val="clear" w:color="auto" w:fill="auto"/>
          </w:tcPr>
          <w:p w14:paraId="01EB834B" w14:textId="53ACE7DE" w:rsidR="00C32594" w:rsidRPr="00995996" w:rsidRDefault="00C32594" w:rsidP="00C32594">
            <w:pPr>
              <w:widowControl w:val="0"/>
              <w:ind w:hanging="113"/>
              <w:jc w:val="center"/>
              <w:rPr>
                <w:rFonts w:cs="Segoe UI Symbol"/>
                <w:sz w:val="20"/>
                <w:szCs w:val="20"/>
              </w:rPr>
            </w:pPr>
            <w:r>
              <w:rPr>
                <w:sz w:val="20"/>
                <w:szCs w:val="20"/>
              </w:rPr>
              <w:t>2%</w:t>
            </w:r>
          </w:p>
        </w:tc>
        <w:tc>
          <w:tcPr>
            <w:tcW w:w="809" w:type="dxa"/>
            <w:shd w:val="clear" w:color="auto" w:fill="auto"/>
          </w:tcPr>
          <w:p w14:paraId="431878E3" w14:textId="2B481900" w:rsidR="00C32594" w:rsidRPr="005D3783" w:rsidRDefault="00C32594" w:rsidP="00C32594">
            <w:pPr>
              <w:widowControl w:val="0"/>
              <w:ind w:hanging="113"/>
              <w:jc w:val="center"/>
              <w:rPr>
                <w:rFonts w:cs="Segoe UI Symbol"/>
                <w:sz w:val="20"/>
                <w:szCs w:val="20"/>
              </w:rPr>
            </w:pPr>
            <w:r>
              <w:rPr>
                <w:sz w:val="20"/>
                <w:szCs w:val="20"/>
              </w:rPr>
              <w:t>0%</w:t>
            </w:r>
          </w:p>
        </w:tc>
        <w:tc>
          <w:tcPr>
            <w:tcW w:w="809" w:type="dxa"/>
            <w:shd w:val="clear" w:color="auto" w:fill="auto"/>
          </w:tcPr>
          <w:p w14:paraId="1CE26F7D" w14:textId="07F3D751" w:rsidR="00C32594" w:rsidRDefault="00C32594" w:rsidP="00C32594">
            <w:pPr>
              <w:widowControl w:val="0"/>
              <w:ind w:hanging="113"/>
              <w:jc w:val="center"/>
              <w:rPr>
                <w:rFonts w:cs="Segoe UI Symbol"/>
                <w:sz w:val="20"/>
                <w:szCs w:val="20"/>
              </w:rPr>
            </w:pPr>
            <w:r>
              <w:rPr>
                <w:sz w:val="20"/>
                <w:szCs w:val="20"/>
              </w:rPr>
              <w:t>13%</w:t>
            </w:r>
          </w:p>
        </w:tc>
        <w:tc>
          <w:tcPr>
            <w:tcW w:w="809" w:type="dxa"/>
            <w:shd w:val="clear" w:color="auto" w:fill="auto"/>
          </w:tcPr>
          <w:p w14:paraId="35DBE2C8" w14:textId="3097E863" w:rsidR="00C32594" w:rsidRPr="00BC51D1" w:rsidRDefault="00C32594" w:rsidP="00C32594">
            <w:pPr>
              <w:widowControl w:val="0"/>
              <w:ind w:hanging="113"/>
              <w:jc w:val="center"/>
              <w:rPr>
                <w:rFonts w:cs="Segoe UI Symbol"/>
                <w:sz w:val="20"/>
                <w:szCs w:val="20"/>
              </w:rPr>
            </w:pPr>
            <w:r>
              <w:rPr>
                <w:sz w:val="20"/>
                <w:szCs w:val="20"/>
              </w:rPr>
              <w:t>4%</w:t>
            </w:r>
          </w:p>
        </w:tc>
        <w:tc>
          <w:tcPr>
            <w:tcW w:w="809" w:type="dxa"/>
            <w:shd w:val="clear" w:color="auto" w:fill="auto"/>
          </w:tcPr>
          <w:p w14:paraId="4F97DA5D" w14:textId="4EBAED03" w:rsidR="00C32594" w:rsidRPr="00410BAA" w:rsidRDefault="00C32594" w:rsidP="00C32594">
            <w:pPr>
              <w:widowControl w:val="0"/>
              <w:ind w:hanging="113"/>
              <w:jc w:val="center"/>
              <w:rPr>
                <w:rFonts w:cs="Segoe UI Symbol"/>
                <w:sz w:val="20"/>
                <w:szCs w:val="20"/>
              </w:rPr>
            </w:pPr>
            <w:r>
              <w:rPr>
                <w:sz w:val="20"/>
                <w:szCs w:val="20"/>
              </w:rPr>
              <w:t>100%</w:t>
            </w:r>
          </w:p>
        </w:tc>
      </w:tr>
      <w:tr w:rsidR="00C32594" w:rsidRPr="001823ED" w14:paraId="5D042232" w14:textId="77777777" w:rsidTr="00C0498B">
        <w:trPr>
          <w:trHeight w:val="248"/>
        </w:trPr>
        <w:tc>
          <w:tcPr>
            <w:tcW w:w="1128" w:type="dxa"/>
            <w:vMerge/>
            <w:shd w:val="clear" w:color="auto" w:fill="auto"/>
          </w:tcPr>
          <w:p w14:paraId="387C4950" w14:textId="77777777" w:rsidR="00C32594" w:rsidRPr="001823ED" w:rsidRDefault="00C32594" w:rsidP="00C32594">
            <w:pPr>
              <w:widowControl w:val="0"/>
              <w:ind w:firstLine="360"/>
              <w:rPr>
                <w:rFonts w:cs="Calibri"/>
              </w:rPr>
            </w:pPr>
          </w:p>
        </w:tc>
        <w:tc>
          <w:tcPr>
            <w:tcW w:w="3264" w:type="dxa"/>
            <w:shd w:val="clear" w:color="auto" w:fill="auto"/>
          </w:tcPr>
          <w:p w14:paraId="131544FA" w14:textId="77777777" w:rsidR="00C32594" w:rsidRPr="001823ED" w:rsidRDefault="00C32594" w:rsidP="00C32594">
            <w:pPr>
              <w:widowControl w:val="0"/>
              <w:rPr>
                <w:sz w:val="20"/>
                <w:szCs w:val="20"/>
              </w:rPr>
            </w:pPr>
            <w:r w:rsidRPr="001823ED">
              <w:rPr>
                <w:rFonts w:cs="Calibri"/>
                <w:sz w:val="20"/>
                <w:szCs w:val="20"/>
              </w:rPr>
              <w:t>Black/African American</w:t>
            </w:r>
          </w:p>
        </w:tc>
        <w:tc>
          <w:tcPr>
            <w:tcW w:w="809" w:type="dxa"/>
            <w:shd w:val="clear" w:color="auto" w:fill="D9D9D9" w:themeFill="background1" w:themeFillShade="D9"/>
          </w:tcPr>
          <w:p w14:paraId="5AA1ADB3" w14:textId="42C4A6BA" w:rsidR="00C32594" w:rsidRPr="007B0BF4" w:rsidRDefault="00C32594" w:rsidP="00C32594">
            <w:pPr>
              <w:widowControl w:val="0"/>
              <w:ind w:hanging="113"/>
              <w:jc w:val="center"/>
              <w:rPr>
                <w:sz w:val="20"/>
                <w:szCs w:val="20"/>
              </w:rPr>
            </w:pPr>
          </w:p>
        </w:tc>
        <w:tc>
          <w:tcPr>
            <w:tcW w:w="809" w:type="dxa"/>
            <w:shd w:val="clear" w:color="auto" w:fill="auto"/>
          </w:tcPr>
          <w:p w14:paraId="78DCD85F" w14:textId="51D08C93" w:rsidR="00C32594" w:rsidRPr="001823ED" w:rsidRDefault="00C32594" w:rsidP="00C32594">
            <w:pPr>
              <w:widowControl w:val="0"/>
              <w:ind w:hanging="98"/>
              <w:jc w:val="center"/>
              <w:rPr>
                <w:sz w:val="20"/>
                <w:szCs w:val="20"/>
              </w:rPr>
            </w:pPr>
            <w:r w:rsidRPr="00DC4234">
              <w:rPr>
                <w:rFonts w:cs="Segoe UI Symbol"/>
                <w:sz w:val="20"/>
                <w:szCs w:val="20"/>
              </w:rPr>
              <w:t>0%</w:t>
            </w:r>
          </w:p>
        </w:tc>
        <w:tc>
          <w:tcPr>
            <w:tcW w:w="809" w:type="dxa"/>
            <w:shd w:val="clear" w:color="auto" w:fill="auto"/>
          </w:tcPr>
          <w:p w14:paraId="4B65B47D" w14:textId="091FB2B7" w:rsidR="00C32594" w:rsidRPr="001823ED" w:rsidRDefault="00C32594" w:rsidP="00C32594">
            <w:pPr>
              <w:widowControl w:val="0"/>
              <w:ind w:hanging="113"/>
              <w:jc w:val="center"/>
              <w:rPr>
                <w:sz w:val="20"/>
                <w:szCs w:val="20"/>
              </w:rPr>
            </w:pPr>
            <w:r>
              <w:rPr>
                <w:sz w:val="20"/>
                <w:szCs w:val="20"/>
              </w:rPr>
              <w:t>4%</w:t>
            </w:r>
          </w:p>
        </w:tc>
        <w:tc>
          <w:tcPr>
            <w:tcW w:w="809" w:type="dxa"/>
            <w:shd w:val="clear" w:color="auto" w:fill="auto"/>
          </w:tcPr>
          <w:p w14:paraId="17CA028B" w14:textId="418B1707" w:rsidR="00C32594" w:rsidRPr="001823ED" w:rsidRDefault="00C32594" w:rsidP="00C32594">
            <w:pPr>
              <w:widowControl w:val="0"/>
              <w:ind w:hanging="113"/>
              <w:jc w:val="center"/>
              <w:rPr>
                <w:sz w:val="20"/>
                <w:szCs w:val="20"/>
              </w:rPr>
            </w:pPr>
            <w:r>
              <w:rPr>
                <w:sz w:val="20"/>
                <w:szCs w:val="20"/>
              </w:rPr>
              <w:t>100%</w:t>
            </w:r>
          </w:p>
        </w:tc>
        <w:tc>
          <w:tcPr>
            <w:tcW w:w="809" w:type="dxa"/>
            <w:shd w:val="clear" w:color="auto" w:fill="auto"/>
          </w:tcPr>
          <w:p w14:paraId="3BD04DE3" w14:textId="089B6147" w:rsidR="00C32594" w:rsidRPr="001823ED" w:rsidRDefault="00C32594" w:rsidP="00C32594">
            <w:pPr>
              <w:widowControl w:val="0"/>
              <w:ind w:hanging="113"/>
              <w:jc w:val="center"/>
              <w:rPr>
                <w:sz w:val="20"/>
                <w:szCs w:val="20"/>
              </w:rPr>
            </w:pPr>
            <w:r>
              <w:rPr>
                <w:sz w:val="20"/>
                <w:szCs w:val="20"/>
              </w:rPr>
              <w:t>4%</w:t>
            </w:r>
          </w:p>
        </w:tc>
        <w:tc>
          <w:tcPr>
            <w:tcW w:w="809" w:type="dxa"/>
            <w:shd w:val="clear" w:color="auto" w:fill="auto"/>
          </w:tcPr>
          <w:p w14:paraId="4148CA91" w14:textId="483228E6" w:rsidR="00C32594" w:rsidRPr="001823ED" w:rsidRDefault="00C32594" w:rsidP="00C32594">
            <w:pPr>
              <w:widowControl w:val="0"/>
              <w:ind w:hanging="113"/>
              <w:jc w:val="center"/>
              <w:rPr>
                <w:sz w:val="20"/>
                <w:szCs w:val="20"/>
              </w:rPr>
            </w:pPr>
            <w:r>
              <w:rPr>
                <w:sz w:val="20"/>
                <w:szCs w:val="20"/>
              </w:rPr>
              <w:t>81%</w:t>
            </w:r>
          </w:p>
        </w:tc>
        <w:tc>
          <w:tcPr>
            <w:tcW w:w="809" w:type="dxa"/>
            <w:shd w:val="clear" w:color="auto" w:fill="auto"/>
          </w:tcPr>
          <w:p w14:paraId="208FF2FF" w14:textId="637D57BF" w:rsidR="00C32594" w:rsidRPr="001823ED" w:rsidRDefault="00C32594" w:rsidP="00C32594">
            <w:pPr>
              <w:widowControl w:val="0"/>
              <w:ind w:hanging="113"/>
              <w:jc w:val="center"/>
              <w:rPr>
                <w:sz w:val="20"/>
                <w:szCs w:val="20"/>
              </w:rPr>
            </w:pPr>
            <w:r>
              <w:rPr>
                <w:sz w:val="20"/>
                <w:szCs w:val="20"/>
              </w:rPr>
              <w:t>0%</w:t>
            </w:r>
          </w:p>
        </w:tc>
      </w:tr>
      <w:tr w:rsidR="00C32594" w:rsidRPr="001823ED" w14:paraId="5A3AC1F6" w14:textId="77777777" w:rsidTr="00C0498B">
        <w:trPr>
          <w:trHeight w:val="248"/>
        </w:trPr>
        <w:tc>
          <w:tcPr>
            <w:tcW w:w="1128" w:type="dxa"/>
            <w:vMerge/>
            <w:shd w:val="clear" w:color="auto" w:fill="auto"/>
          </w:tcPr>
          <w:p w14:paraId="09101FEE" w14:textId="77777777" w:rsidR="00C32594" w:rsidRPr="001823ED" w:rsidRDefault="00C32594" w:rsidP="00C32594">
            <w:pPr>
              <w:widowControl w:val="0"/>
              <w:ind w:firstLine="360"/>
              <w:rPr>
                <w:rFonts w:cs="Calibri"/>
              </w:rPr>
            </w:pPr>
          </w:p>
        </w:tc>
        <w:tc>
          <w:tcPr>
            <w:tcW w:w="3264" w:type="dxa"/>
            <w:shd w:val="clear" w:color="auto" w:fill="auto"/>
          </w:tcPr>
          <w:p w14:paraId="4AA5AEDF" w14:textId="5A3DB884" w:rsidR="00C32594" w:rsidRPr="001823ED" w:rsidRDefault="00C32594" w:rsidP="00C32594">
            <w:pPr>
              <w:widowControl w:val="0"/>
              <w:rPr>
                <w:rFonts w:cs="Calibri"/>
                <w:sz w:val="20"/>
                <w:szCs w:val="20"/>
              </w:rPr>
            </w:pPr>
            <w:r w:rsidRPr="001823ED">
              <w:rPr>
                <w:rFonts w:cs="Calibri"/>
                <w:sz w:val="20"/>
                <w:szCs w:val="20"/>
              </w:rPr>
              <w:t>Caucasian/White/European ancestry</w:t>
            </w:r>
          </w:p>
        </w:tc>
        <w:tc>
          <w:tcPr>
            <w:tcW w:w="809" w:type="dxa"/>
            <w:shd w:val="clear" w:color="auto" w:fill="D9D9D9" w:themeFill="background1" w:themeFillShade="D9"/>
          </w:tcPr>
          <w:p w14:paraId="513290CE" w14:textId="77777777" w:rsidR="00C32594" w:rsidRPr="007B0BF4" w:rsidRDefault="00C32594" w:rsidP="00C32594">
            <w:pPr>
              <w:widowControl w:val="0"/>
              <w:ind w:hanging="113"/>
              <w:jc w:val="center"/>
              <w:rPr>
                <w:sz w:val="20"/>
                <w:szCs w:val="20"/>
              </w:rPr>
            </w:pPr>
          </w:p>
        </w:tc>
        <w:tc>
          <w:tcPr>
            <w:tcW w:w="809" w:type="dxa"/>
            <w:shd w:val="clear" w:color="auto" w:fill="auto"/>
          </w:tcPr>
          <w:p w14:paraId="1BEA08FA" w14:textId="78914808" w:rsidR="00C32594" w:rsidRPr="00DC4234" w:rsidRDefault="00C32594" w:rsidP="00C32594">
            <w:pPr>
              <w:widowControl w:val="0"/>
              <w:ind w:hanging="98"/>
              <w:jc w:val="center"/>
              <w:rPr>
                <w:rFonts w:cs="Segoe UI Symbol"/>
                <w:sz w:val="20"/>
                <w:szCs w:val="20"/>
              </w:rPr>
            </w:pPr>
            <w:r w:rsidRPr="00DC4234">
              <w:rPr>
                <w:rFonts w:cs="Segoe UI Symbol"/>
                <w:sz w:val="20"/>
                <w:szCs w:val="20"/>
              </w:rPr>
              <w:t>0%</w:t>
            </w:r>
          </w:p>
        </w:tc>
        <w:tc>
          <w:tcPr>
            <w:tcW w:w="809" w:type="dxa"/>
            <w:shd w:val="clear" w:color="auto" w:fill="auto"/>
          </w:tcPr>
          <w:p w14:paraId="7C672600" w14:textId="788544DA" w:rsidR="00C32594" w:rsidRDefault="00C32594" w:rsidP="00C32594">
            <w:pPr>
              <w:widowControl w:val="0"/>
              <w:ind w:hanging="113"/>
              <w:jc w:val="center"/>
              <w:rPr>
                <w:sz w:val="20"/>
                <w:szCs w:val="20"/>
              </w:rPr>
            </w:pPr>
            <w:r w:rsidRPr="00995996">
              <w:rPr>
                <w:rFonts w:cs="Segoe UI Symbol"/>
                <w:sz w:val="20"/>
                <w:szCs w:val="20"/>
              </w:rPr>
              <w:t>94%</w:t>
            </w:r>
          </w:p>
        </w:tc>
        <w:tc>
          <w:tcPr>
            <w:tcW w:w="809" w:type="dxa"/>
            <w:shd w:val="clear" w:color="auto" w:fill="auto"/>
          </w:tcPr>
          <w:p w14:paraId="1C29BD45" w14:textId="2BAF5968" w:rsidR="00C32594" w:rsidRDefault="00C32594" w:rsidP="00C32594">
            <w:pPr>
              <w:widowControl w:val="0"/>
              <w:ind w:hanging="113"/>
              <w:jc w:val="center"/>
              <w:rPr>
                <w:sz w:val="20"/>
                <w:szCs w:val="20"/>
              </w:rPr>
            </w:pPr>
            <w:r w:rsidRPr="005D3783">
              <w:rPr>
                <w:rFonts w:cs="Segoe UI Symbol"/>
                <w:sz w:val="20"/>
                <w:szCs w:val="20"/>
              </w:rPr>
              <w:t>0%</w:t>
            </w:r>
          </w:p>
        </w:tc>
        <w:tc>
          <w:tcPr>
            <w:tcW w:w="809" w:type="dxa"/>
            <w:shd w:val="clear" w:color="auto" w:fill="auto"/>
          </w:tcPr>
          <w:p w14:paraId="084ECFDE" w14:textId="0105A827" w:rsidR="00C32594" w:rsidRDefault="00C32594" w:rsidP="00C32594">
            <w:pPr>
              <w:widowControl w:val="0"/>
              <w:ind w:hanging="113"/>
              <w:jc w:val="center"/>
              <w:rPr>
                <w:sz w:val="20"/>
                <w:szCs w:val="20"/>
              </w:rPr>
            </w:pPr>
            <w:r>
              <w:rPr>
                <w:rFonts w:cs="Segoe UI Symbol"/>
                <w:sz w:val="20"/>
                <w:szCs w:val="20"/>
              </w:rPr>
              <w:t>74%</w:t>
            </w:r>
          </w:p>
        </w:tc>
        <w:tc>
          <w:tcPr>
            <w:tcW w:w="809" w:type="dxa"/>
            <w:shd w:val="clear" w:color="auto" w:fill="auto"/>
          </w:tcPr>
          <w:p w14:paraId="52893C48" w14:textId="51108A94" w:rsidR="00C32594" w:rsidRDefault="00C32594" w:rsidP="00C32594">
            <w:pPr>
              <w:widowControl w:val="0"/>
              <w:ind w:hanging="113"/>
              <w:jc w:val="center"/>
              <w:rPr>
                <w:sz w:val="20"/>
                <w:szCs w:val="20"/>
              </w:rPr>
            </w:pPr>
            <w:r w:rsidRPr="00BC51D1">
              <w:rPr>
                <w:rFonts w:cs="Segoe UI Symbol"/>
                <w:sz w:val="20"/>
                <w:szCs w:val="20"/>
              </w:rPr>
              <w:t>9%</w:t>
            </w:r>
          </w:p>
        </w:tc>
        <w:tc>
          <w:tcPr>
            <w:tcW w:w="809" w:type="dxa"/>
            <w:shd w:val="clear" w:color="auto" w:fill="auto"/>
          </w:tcPr>
          <w:p w14:paraId="75DA7EAE" w14:textId="02A12244" w:rsidR="00C32594" w:rsidRDefault="00C32594" w:rsidP="00C32594">
            <w:pPr>
              <w:widowControl w:val="0"/>
              <w:ind w:hanging="113"/>
              <w:jc w:val="center"/>
              <w:rPr>
                <w:sz w:val="20"/>
                <w:szCs w:val="20"/>
              </w:rPr>
            </w:pPr>
            <w:r w:rsidRPr="00410BAA">
              <w:rPr>
                <w:rFonts w:cs="Segoe UI Symbol"/>
                <w:sz w:val="20"/>
                <w:szCs w:val="20"/>
              </w:rPr>
              <w:t>0%</w:t>
            </w:r>
          </w:p>
        </w:tc>
      </w:tr>
      <w:tr w:rsidR="00C32594" w:rsidRPr="001823ED" w14:paraId="6E0E9EA6" w14:textId="77777777" w:rsidTr="00C0498B">
        <w:trPr>
          <w:trHeight w:val="151"/>
        </w:trPr>
        <w:tc>
          <w:tcPr>
            <w:tcW w:w="1128" w:type="dxa"/>
            <w:vMerge/>
            <w:shd w:val="clear" w:color="auto" w:fill="auto"/>
          </w:tcPr>
          <w:p w14:paraId="4B15C98E" w14:textId="77777777" w:rsidR="00C32594" w:rsidRPr="001823ED" w:rsidRDefault="00C32594" w:rsidP="00C32594">
            <w:pPr>
              <w:widowControl w:val="0"/>
              <w:ind w:firstLine="360"/>
              <w:rPr>
                <w:rFonts w:cs="Calibri"/>
              </w:rPr>
            </w:pPr>
          </w:p>
        </w:tc>
        <w:tc>
          <w:tcPr>
            <w:tcW w:w="3264" w:type="dxa"/>
            <w:shd w:val="clear" w:color="auto" w:fill="auto"/>
          </w:tcPr>
          <w:p w14:paraId="1DE21F9C" w14:textId="77777777" w:rsidR="00C32594" w:rsidRPr="001823ED" w:rsidRDefault="00C32594" w:rsidP="00C32594">
            <w:pPr>
              <w:widowControl w:val="0"/>
              <w:rPr>
                <w:sz w:val="20"/>
                <w:szCs w:val="20"/>
              </w:rPr>
            </w:pPr>
            <w:r w:rsidRPr="001823ED">
              <w:rPr>
                <w:rFonts w:cs="Calibri"/>
                <w:sz w:val="20"/>
                <w:szCs w:val="20"/>
              </w:rPr>
              <w:t>Other/mixed</w:t>
            </w:r>
          </w:p>
        </w:tc>
        <w:tc>
          <w:tcPr>
            <w:tcW w:w="809" w:type="dxa"/>
            <w:shd w:val="clear" w:color="auto" w:fill="D9D9D9" w:themeFill="background1" w:themeFillShade="D9"/>
          </w:tcPr>
          <w:p w14:paraId="5C0E8D67" w14:textId="3F52BFBC" w:rsidR="00C32594" w:rsidRPr="007B0BF4" w:rsidRDefault="00C32594" w:rsidP="00C32594">
            <w:pPr>
              <w:widowControl w:val="0"/>
              <w:ind w:hanging="113"/>
              <w:jc w:val="center"/>
              <w:rPr>
                <w:sz w:val="20"/>
                <w:szCs w:val="20"/>
              </w:rPr>
            </w:pPr>
          </w:p>
        </w:tc>
        <w:tc>
          <w:tcPr>
            <w:tcW w:w="809" w:type="dxa"/>
            <w:shd w:val="clear" w:color="auto" w:fill="auto"/>
          </w:tcPr>
          <w:p w14:paraId="645EFA1B" w14:textId="48ADB8BF" w:rsidR="00C32594" w:rsidRPr="001823ED" w:rsidRDefault="00C32594" w:rsidP="00C32594">
            <w:pPr>
              <w:widowControl w:val="0"/>
              <w:ind w:hanging="98"/>
              <w:jc w:val="center"/>
              <w:rPr>
                <w:sz w:val="20"/>
                <w:szCs w:val="20"/>
              </w:rPr>
            </w:pPr>
            <w:r w:rsidRPr="00DC4234">
              <w:rPr>
                <w:rFonts w:cs="Segoe UI Symbol"/>
                <w:sz w:val="20"/>
                <w:szCs w:val="20"/>
              </w:rPr>
              <w:t>0%</w:t>
            </w:r>
          </w:p>
        </w:tc>
        <w:tc>
          <w:tcPr>
            <w:tcW w:w="809" w:type="dxa"/>
            <w:shd w:val="clear" w:color="auto" w:fill="auto"/>
          </w:tcPr>
          <w:p w14:paraId="2AADCB6E" w14:textId="5AF70A4D" w:rsidR="00C32594" w:rsidRPr="001823ED" w:rsidRDefault="00C32594" w:rsidP="00C32594">
            <w:pPr>
              <w:widowControl w:val="0"/>
              <w:ind w:hanging="113"/>
              <w:jc w:val="center"/>
              <w:rPr>
                <w:sz w:val="20"/>
                <w:szCs w:val="20"/>
              </w:rPr>
            </w:pPr>
            <w:r>
              <w:rPr>
                <w:sz w:val="20"/>
                <w:szCs w:val="20"/>
              </w:rPr>
              <w:t>0%</w:t>
            </w:r>
          </w:p>
        </w:tc>
        <w:tc>
          <w:tcPr>
            <w:tcW w:w="809" w:type="dxa"/>
            <w:shd w:val="clear" w:color="auto" w:fill="auto"/>
          </w:tcPr>
          <w:p w14:paraId="68620AD5" w14:textId="7DC6F150" w:rsidR="00C32594" w:rsidRPr="001823ED" w:rsidRDefault="00C32594" w:rsidP="00C32594">
            <w:pPr>
              <w:widowControl w:val="0"/>
              <w:ind w:hanging="113"/>
              <w:jc w:val="center"/>
              <w:rPr>
                <w:sz w:val="20"/>
                <w:szCs w:val="20"/>
              </w:rPr>
            </w:pPr>
            <w:r>
              <w:rPr>
                <w:sz w:val="20"/>
                <w:szCs w:val="20"/>
              </w:rPr>
              <w:t>0%</w:t>
            </w:r>
          </w:p>
        </w:tc>
        <w:tc>
          <w:tcPr>
            <w:tcW w:w="809" w:type="dxa"/>
            <w:shd w:val="clear" w:color="auto" w:fill="auto"/>
          </w:tcPr>
          <w:p w14:paraId="14467F59" w14:textId="7483A2EB" w:rsidR="00C32594" w:rsidRPr="001823ED" w:rsidRDefault="00C32594" w:rsidP="00C32594">
            <w:pPr>
              <w:widowControl w:val="0"/>
              <w:ind w:hanging="113"/>
              <w:jc w:val="center"/>
              <w:rPr>
                <w:sz w:val="20"/>
                <w:szCs w:val="20"/>
              </w:rPr>
            </w:pPr>
            <w:r>
              <w:rPr>
                <w:sz w:val="20"/>
                <w:szCs w:val="20"/>
              </w:rPr>
              <w:t>20%</w:t>
            </w:r>
          </w:p>
        </w:tc>
        <w:tc>
          <w:tcPr>
            <w:tcW w:w="809" w:type="dxa"/>
            <w:shd w:val="clear" w:color="auto" w:fill="auto"/>
          </w:tcPr>
          <w:p w14:paraId="6F90375F" w14:textId="76A1D881" w:rsidR="00C32594" w:rsidRPr="001823ED" w:rsidRDefault="00C32594" w:rsidP="00C32594">
            <w:pPr>
              <w:widowControl w:val="0"/>
              <w:ind w:hanging="113"/>
              <w:jc w:val="center"/>
              <w:rPr>
                <w:sz w:val="20"/>
                <w:szCs w:val="20"/>
              </w:rPr>
            </w:pPr>
            <w:r>
              <w:rPr>
                <w:sz w:val="20"/>
                <w:szCs w:val="20"/>
              </w:rPr>
              <w:t>6%</w:t>
            </w:r>
          </w:p>
        </w:tc>
        <w:tc>
          <w:tcPr>
            <w:tcW w:w="809" w:type="dxa"/>
            <w:shd w:val="clear" w:color="auto" w:fill="auto"/>
          </w:tcPr>
          <w:p w14:paraId="0AA920A4" w14:textId="7D322573" w:rsidR="00C32594" w:rsidRPr="001823ED" w:rsidRDefault="00C32594" w:rsidP="00C32594">
            <w:pPr>
              <w:widowControl w:val="0"/>
              <w:ind w:hanging="113"/>
              <w:jc w:val="center"/>
              <w:rPr>
                <w:sz w:val="20"/>
                <w:szCs w:val="20"/>
              </w:rPr>
            </w:pPr>
            <w:r>
              <w:rPr>
                <w:sz w:val="20"/>
                <w:szCs w:val="20"/>
              </w:rPr>
              <w:t>0%</w:t>
            </w:r>
          </w:p>
        </w:tc>
      </w:tr>
      <w:tr w:rsidR="00C32594" w:rsidRPr="001823ED" w14:paraId="087C009B" w14:textId="77777777" w:rsidTr="00C0498B">
        <w:trPr>
          <w:trHeight w:val="151"/>
        </w:trPr>
        <w:tc>
          <w:tcPr>
            <w:tcW w:w="1128" w:type="dxa"/>
            <w:shd w:val="clear" w:color="auto" w:fill="auto"/>
          </w:tcPr>
          <w:p w14:paraId="41E9459C" w14:textId="77777777" w:rsidR="00C32594" w:rsidRPr="001823ED" w:rsidRDefault="00C32594" w:rsidP="00C32594">
            <w:pPr>
              <w:widowControl w:val="0"/>
              <w:ind w:firstLine="360"/>
              <w:rPr>
                <w:rFonts w:cs="Calibri"/>
              </w:rPr>
            </w:pPr>
          </w:p>
        </w:tc>
        <w:tc>
          <w:tcPr>
            <w:tcW w:w="3264" w:type="dxa"/>
            <w:shd w:val="clear" w:color="auto" w:fill="auto"/>
          </w:tcPr>
          <w:p w14:paraId="2D203C87" w14:textId="77777777" w:rsidR="00C32594" w:rsidRPr="001823ED" w:rsidRDefault="00C32594" w:rsidP="00C32594">
            <w:pPr>
              <w:widowControl w:val="0"/>
              <w:rPr>
                <w:rFonts w:cs="Calibri"/>
                <w:sz w:val="20"/>
                <w:szCs w:val="20"/>
              </w:rPr>
            </w:pPr>
            <w:r w:rsidRPr="001823ED">
              <w:rPr>
                <w:rFonts w:cs="Calibri"/>
                <w:sz w:val="20"/>
                <w:szCs w:val="20"/>
              </w:rPr>
              <w:t>Control for confounders (either statistically or by matching)</w:t>
            </w:r>
          </w:p>
        </w:tc>
        <w:tc>
          <w:tcPr>
            <w:tcW w:w="809" w:type="dxa"/>
            <w:shd w:val="clear" w:color="auto" w:fill="auto"/>
          </w:tcPr>
          <w:p w14:paraId="5AA9D398" w14:textId="53935FF7" w:rsidR="00C32594" w:rsidRPr="007B0BF4" w:rsidRDefault="00C32594" w:rsidP="00C32594">
            <w:pPr>
              <w:widowControl w:val="0"/>
              <w:ind w:hanging="113"/>
              <w:jc w:val="center"/>
              <w:rPr>
                <w:rFonts w:cs="Calibri"/>
                <w:sz w:val="20"/>
                <w:szCs w:val="20"/>
              </w:rPr>
            </w:pPr>
            <w:r>
              <w:rPr>
                <w:rFonts w:cs="Calibri"/>
                <w:sz w:val="12"/>
                <w:szCs w:val="12"/>
              </w:rPr>
              <w:t>Parity and ethnicity</w:t>
            </w:r>
          </w:p>
        </w:tc>
        <w:tc>
          <w:tcPr>
            <w:tcW w:w="809" w:type="dxa"/>
            <w:shd w:val="clear" w:color="auto" w:fill="auto"/>
          </w:tcPr>
          <w:p w14:paraId="61DBCBFE" w14:textId="6BD6A328" w:rsidR="00C32594" w:rsidRPr="001823ED" w:rsidRDefault="00C32594" w:rsidP="00C32594">
            <w:pPr>
              <w:widowControl w:val="0"/>
              <w:ind w:hanging="98"/>
              <w:jc w:val="center"/>
              <w:rPr>
                <w:rFonts w:cs="Calibri"/>
                <w:sz w:val="16"/>
                <w:szCs w:val="16"/>
              </w:rPr>
            </w:pPr>
            <w:r w:rsidRPr="001823ED">
              <w:rPr>
                <w:rFonts w:ascii="Segoe UI Symbol" w:hAnsi="Segoe UI Symbol" w:cs="Segoe UI Symbol"/>
                <w:sz w:val="20"/>
                <w:szCs w:val="20"/>
              </w:rPr>
              <w:t>✘</w:t>
            </w:r>
          </w:p>
        </w:tc>
        <w:tc>
          <w:tcPr>
            <w:tcW w:w="809" w:type="dxa"/>
            <w:shd w:val="clear" w:color="auto" w:fill="auto"/>
          </w:tcPr>
          <w:p w14:paraId="482DB926" w14:textId="781011A8" w:rsidR="00C32594" w:rsidRPr="001823ED" w:rsidRDefault="00C32594" w:rsidP="00C32594">
            <w:pPr>
              <w:widowControl w:val="0"/>
              <w:ind w:hanging="113"/>
              <w:jc w:val="center"/>
              <w:rPr>
                <w:rFonts w:cs="Calibri"/>
                <w:sz w:val="12"/>
                <w:szCs w:val="12"/>
              </w:rPr>
            </w:pPr>
            <w:r w:rsidRPr="001823ED">
              <w:rPr>
                <w:rFonts w:ascii="Segoe UI Symbol" w:hAnsi="Segoe UI Symbol" w:cs="Segoe UI Symbol"/>
                <w:sz w:val="20"/>
                <w:szCs w:val="20"/>
              </w:rPr>
              <w:t>✘</w:t>
            </w:r>
          </w:p>
        </w:tc>
        <w:tc>
          <w:tcPr>
            <w:tcW w:w="809" w:type="dxa"/>
            <w:shd w:val="clear" w:color="auto" w:fill="auto"/>
          </w:tcPr>
          <w:p w14:paraId="1D24B389" w14:textId="723A41DE"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sz w:val="20"/>
                <w:szCs w:val="20"/>
              </w:rPr>
              <w:t>✘</w:t>
            </w:r>
          </w:p>
        </w:tc>
        <w:tc>
          <w:tcPr>
            <w:tcW w:w="809" w:type="dxa"/>
            <w:shd w:val="clear" w:color="auto" w:fill="auto"/>
          </w:tcPr>
          <w:p w14:paraId="2408423F" w14:textId="46725E2D" w:rsidR="00C32594" w:rsidRPr="001823ED" w:rsidRDefault="00C32594" w:rsidP="00C32594">
            <w:pPr>
              <w:widowControl w:val="0"/>
              <w:ind w:hanging="113"/>
              <w:jc w:val="center"/>
              <w:rPr>
                <w:rFonts w:cs="Calibri"/>
                <w:sz w:val="12"/>
                <w:szCs w:val="12"/>
              </w:rPr>
            </w:pPr>
            <w:r>
              <w:rPr>
                <w:rFonts w:cs="Calibri"/>
                <w:sz w:val="12"/>
                <w:szCs w:val="12"/>
              </w:rPr>
              <w:t xml:space="preserve">BMI, </w:t>
            </w:r>
            <w:proofErr w:type="spellStart"/>
            <w:r>
              <w:rPr>
                <w:rFonts w:cs="Calibri"/>
                <w:sz w:val="12"/>
                <w:szCs w:val="12"/>
              </w:rPr>
              <w:t>socioecono</w:t>
            </w:r>
            <w:proofErr w:type="spellEnd"/>
            <w:r>
              <w:rPr>
                <w:rFonts w:cs="Calibri"/>
                <w:sz w:val="12"/>
                <w:szCs w:val="12"/>
              </w:rPr>
              <w:t>-mic status</w:t>
            </w:r>
            <w:r w:rsidRPr="001823ED">
              <w:rPr>
                <w:rFonts w:cs="Calibri"/>
                <w:sz w:val="12"/>
                <w:szCs w:val="12"/>
              </w:rPr>
              <w:t>, ethnicity</w:t>
            </w:r>
            <w:r>
              <w:rPr>
                <w:rFonts w:cs="Calibri"/>
                <w:sz w:val="12"/>
                <w:szCs w:val="12"/>
              </w:rPr>
              <w:t xml:space="preserve">, </w:t>
            </w:r>
            <w:proofErr w:type="spellStart"/>
            <w:r>
              <w:rPr>
                <w:rFonts w:cs="Calibri"/>
                <w:sz w:val="12"/>
                <w:szCs w:val="12"/>
              </w:rPr>
              <w:t>preg</w:t>
            </w:r>
            <w:proofErr w:type="spellEnd"/>
            <w:r>
              <w:rPr>
                <w:rFonts w:cs="Calibri"/>
                <w:sz w:val="12"/>
                <w:szCs w:val="12"/>
              </w:rPr>
              <w:t xml:space="preserve"> history</w:t>
            </w:r>
          </w:p>
        </w:tc>
        <w:tc>
          <w:tcPr>
            <w:tcW w:w="809" w:type="dxa"/>
            <w:shd w:val="clear" w:color="auto" w:fill="auto"/>
          </w:tcPr>
          <w:p w14:paraId="6BE23C8E" w14:textId="6AC8358D" w:rsidR="00C32594" w:rsidRPr="001823ED" w:rsidRDefault="00C32594" w:rsidP="00C32594">
            <w:pPr>
              <w:widowControl w:val="0"/>
              <w:ind w:hanging="113"/>
              <w:jc w:val="center"/>
              <w:rPr>
                <w:rFonts w:cs="Calibri"/>
                <w:sz w:val="20"/>
                <w:szCs w:val="20"/>
              </w:rPr>
            </w:pPr>
            <w:r>
              <w:rPr>
                <w:rFonts w:cs="Calibri"/>
                <w:sz w:val="12"/>
                <w:szCs w:val="12"/>
              </w:rPr>
              <w:t>All participants were people living with HIV</w:t>
            </w:r>
          </w:p>
        </w:tc>
        <w:tc>
          <w:tcPr>
            <w:tcW w:w="809" w:type="dxa"/>
            <w:shd w:val="clear" w:color="auto" w:fill="auto"/>
          </w:tcPr>
          <w:p w14:paraId="613A1356" w14:textId="2AF093DD" w:rsidR="00C32594" w:rsidRPr="001823ED" w:rsidRDefault="00C32594" w:rsidP="00C32594">
            <w:pPr>
              <w:widowControl w:val="0"/>
              <w:ind w:hanging="113"/>
              <w:jc w:val="center"/>
              <w:rPr>
                <w:rFonts w:cs="Calibri"/>
                <w:sz w:val="12"/>
                <w:szCs w:val="12"/>
              </w:rPr>
            </w:pPr>
            <w:r>
              <w:rPr>
                <w:rFonts w:cs="Calibri"/>
                <w:sz w:val="12"/>
                <w:szCs w:val="12"/>
              </w:rPr>
              <w:t>Age, parity and gravida</w:t>
            </w:r>
          </w:p>
        </w:tc>
      </w:tr>
      <w:tr w:rsidR="00C32594" w:rsidRPr="001823ED" w14:paraId="1C81924C" w14:textId="77777777" w:rsidTr="00C0498B">
        <w:trPr>
          <w:cantSplit/>
          <w:trHeight w:val="386"/>
        </w:trPr>
        <w:tc>
          <w:tcPr>
            <w:tcW w:w="4392" w:type="dxa"/>
            <w:gridSpan w:val="2"/>
            <w:shd w:val="clear" w:color="auto" w:fill="auto"/>
          </w:tcPr>
          <w:p w14:paraId="182FE4F2" w14:textId="77777777" w:rsidR="00C32594" w:rsidRPr="001823ED" w:rsidRDefault="00C32594" w:rsidP="00C32594">
            <w:pPr>
              <w:widowControl w:val="0"/>
              <w:rPr>
                <w:rFonts w:cs="Calibri"/>
                <w:sz w:val="20"/>
                <w:szCs w:val="20"/>
              </w:rPr>
            </w:pPr>
            <w:r w:rsidRPr="001823ED">
              <w:rPr>
                <w:rFonts w:cs="Calibri"/>
                <w:sz w:val="20"/>
                <w:szCs w:val="20"/>
              </w:rPr>
              <w:t>Relationship between VMB and PTB suggested</w:t>
            </w:r>
          </w:p>
        </w:tc>
        <w:tc>
          <w:tcPr>
            <w:tcW w:w="809" w:type="dxa"/>
            <w:shd w:val="clear" w:color="auto" w:fill="auto"/>
          </w:tcPr>
          <w:p w14:paraId="3785D598" w14:textId="1FD2B00A" w:rsidR="00C32594" w:rsidRPr="007B0BF4"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0F9E14B9" w14:textId="5AC174A6" w:rsidR="00C32594" w:rsidRPr="001823ED" w:rsidRDefault="00C32594" w:rsidP="00C32594">
            <w:pPr>
              <w:widowControl w:val="0"/>
              <w:ind w:hanging="98"/>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3E8DA957" w14:textId="472334CB"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5BA647EB" w14:textId="167245B8"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1521EFFE" w14:textId="46D168D7"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5200B325" w14:textId="4CA0E657"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c>
          <w:tcPr>
            <w:tcW w:w="809" w:type="dxa"/>
            <w:shd w:val="clear" w:color="auto" w:fill="auto"/>
          </w:tcPr>
          <w:p w14:paraId="7FE58467" w14:textId="77777777" w:rsidR="00C32594" w:rsidRPr="001823ED" w:rsidRDefault="00C32594" w:rsidP="00C32594">
            <w:pPr>
              <w:widowControl w:val="0"/>
              <w:ind w:hanging="113"/>
              <w:jc w:val="center"/>
              <w:rPr>
                <w:rFonts w:cs="Calibri"/>
                <w:sz w:val="20"/>
                <w:szCs w:val="20"/>
              </w:rPr>
            </w:pPr>
            <w:r w:rsidRPr="001823ED">
              <w:rPr>
                <w:rFonts w:ascii="Segoe UI Symbol" w:hAnsi="Segoe UI Symbol" w:cs="Segoe UI Symbol"/>
                <w:b/>
                <w:bCs/>
                <w:sz w:val="20"/>
                <w:szCs w:val="20"/>
              </w:rPr>
              <w:t>✓</w:t>
            </w:r>
          </w:p>
        </w:tc>
      </w:tr>
    </w:tbl>
    <w:p w14:paraId="110F1451" w14:textId="4BB1B425" w:rsidR="00CF550D" w:rsidRDefault="005136FD">
      <w:pPr>
        <w:rPr>
          <w:b/>
          <w:noProof/>
        </w:rPr>
      </w:pPr>
      <w:r>
        <w:rPr>
          <w:noProof/>
          <w:sz w:val="16"/>
          <w:szCs w:val="16"/>
        </w:rPr>
        <w:t xml:space="preserve">Abbreviations as per part 1 of table. </w:t>
      </w:r>
      <w:r w:rsidR="000B35CD" w:rsidRPr="000F62D4">
        <w:rPr>
          <w:noProof/>
          <w:sz w:val="16"/>
          <w:szCs w:val="16"/>
        </w:rPr>
        <w:t>¶</w:t>
      </w:r>
      <w:r w:rsidR="001B19F5" w:rsidRPr="000F62D4">
        <w:rPr>
          <w:noProof/>
          <w:sz w:val="16"/>
          <w:szCs w:val="16"/>
        </w:rPr>
        <w:t>Shotgun metagenomic sequencing</w:t>
      </w:r>
      <w:r>
        <w:rPr>
          <w:noProof/>
          <w:sz w:val="16"/>
          <w:szCs w:val="16"/>
        </w:rPr>
        <w:fldChar w:fldCharType="begin" w:fldLock="1"/>
      </w:r>
      <w:r>
        <w:rPr>
          <w:noProof/>
          <w:sz w:val="16"/>
          <w:szCs w:val="16"/>
        </w:rPr>
        <w:instrText>ADDIN CSL_CITATION {"citationItems":[{"id":"ITEM-1","itemData":{"DOI":"10.1038/s41522-020-00162-8","ISSN":"20555008","PMID":"33184260","abstract":"An association between the vaginal microbiota and preterm birth (PTB) has been reported in several research studies. Population shifts from high proportions of lactobacilli to mixed species communities, as seen with bacterial vaginosis, have been linked to a twofold increased risk of PTB. Despite the increasing number of studies using next-generation sequencing technologies, primarily involving 16S rRNA-based approaches, to investigate the vaginal microbiota during pregnancy, no distinct microbial signature has been associated with PTB. Shotgun metagenomic sequencing offers a powerful tool to reveal community structures and their gene functions at a far greater resolution than amplicon sequencing. In this study, we employ shotgun metagenomic sequencing to compare the vaginal microbiota of women at high risk of preterm birth (n = 35) vs. a low-risk control group (n = 14). Although microbial diversity and richness did not differ between groups, there were significant differences in terms of individual species. In particular, Lactobacillus crispatus was associated with samples from a full-term pregnancy, whereas one community state-type was associated with samples from preterm pregnancies. Furthermore, by predicting gene functions, the functional potential of the preterm microbiota was different from that of full-term equivalent. Taken together, we observed a discrete structural and functional difference in the microbial composition of the vagina in women who deliver preterm. Importance: with an estimated 15 million cases annually, spontaneous preterm birth (PTB) is the leading cause of death in infants under the age of five years. The ability to accurately identify pregnancies at risk of spontaneous PTB is therefore of utmost importance. However, no single cause is attributable. Microbial infection is a known risk factor, yet the role of vaginal microbes is poorly understood. Using high-resolution DNA-sequencing techniques, we investigate the microbial communities present in the vaginal tracts of women deemed high risk for PTB. We confirm that Lactobacillus crispatus is strongly linked to full-term pregnancies, whereas other microbial communities associate with PTB. Importantly, we show that the specific functions of the microbes present in PTB samples differs from FTB samples, highlighting the power of our sequencing approach. This information enables us to begin understanding the specific microbial traits that may be influencing PTB, beyond the presence…","author":[{"dropping-particle":"","family":"Feehily","given":"Conor","non-dropping-particle":"","parse-names":false,"suffix":""},{"dropping-particle":"","family":"Crosby","given":"David","non-dropping-particle":"","parse-names":false,"suffix":""},{"dropping-particle":"","family":"Walsh","given":"Calum J.","non-dropping-particle":"","parse-names":false,"suffix":""},{"dropping-particle":"","family":"Lawton","given":"Elaine M.","non-dropping-particle":"","parse-names":false,"suffix":""},{"dropping-particle":"","family":"Higgins","given":"Shane","non-dropping-particle":"","parse-names":false,"suffix":""},{"dropping-particle":"","family":"McAuliffe","given":"Fionnuala M.","non-dropping-particle":"","parse-names":false,"suffix":""},{"dropping-particle":"","family":"Cotter","given":"Paul D.","non-dropping-particle":"","parse-names":false,"suffix":""}],"container-title":"npj Biofilms and Microbiomes","id":"ITEM-1","issue":"1","issued":{"date-parts":[["2020"]]},"page":"1-9","publisher":"Springer US","title":"Shotgun sequencing of the vaginal microbiome reveals both a species and functional potential signature of preterm birth","type":"article-journal","volume":"6"},"uris":["http://www.mendeley.com/documents/?uuid=a0d2a481-7bd8-46d3-8c69-e4313d828b56"]}],"mendeley":{"formattedCitation":"&lt;sup&gt;33&lt;/sup&gt;","plainTextFormattedCitation":"33"},"properties":{"noteIndex":0},"schema":"https://github.com/citation-style-language/schema/raw/master/csl-citation.json"}</w:instrText>
      </w:r>
      <w:r>
        <w:rPr>
          <w:noProof/>
          <w:sz w:val="16"/>
          <w:szCs w:val="16"/>
        </w:rPr>
        <w:fldChar w:fldCharType="separate"/>
      </w:r>
      <w:r w:rsidRPr="005136FD">
        <w:rPr>
          <w:noProof/>
          <w:sz w:val="16"/>
          <w:szCs w:val="16"/>
          <w:vertAlign w:val="superscript"/>
        </w:rPr>
        <w:t>33</w:t>
      </w:r>
      <w:r>
        <w:rPr>
          <w:noProof/>
          <w:sz w:val="16"/>
          <w:szCs w:val="16"/>
        </w:rPr>
        <w:fldChar w:fldCharType="end"/>
      </w:r>
      <w:r w:rsidR="000B35CD" w:rsidRPr="000F62D4">
        <w:rPr>
          <w:noProof/>
          <w:sz w:val="16"/>
          <w:szCs w:val="16"/>
        </w:rPr>
        <w:t xml:space="preserve"> </w:t>
      </w:r>
      <w:r w:rsidR="0013003A" w:rsidRPr="001823ED">
        <w:rPr>
          <w:sz w:val="16"/>
          <w:szCs w:val="16"/>
        </w:rPr>
        <w:t>*</w:t>
      </w:r>
      <w:r w:rsidR="00C2600B">
        <w:rPr>
          <w:sz w:val="16"/>
          <w:szCs w:val="16"/>
        </w:rPr>
        <w:t xml:space="preserve">qPCR of 23 </w:t>
      </w:r>
      <w:r w:rsidR="00597888">
        <w:rPr>
          <w:sz w:val="16"/>
          <w:szCs w:val="16"/>
        </w:rPr>
        <w:t>microbial DNA targets</w:t>
      </w:r>
      <w:r w:rsidR="00E6187E">
        <w:rPr>
          <w:sz w:val="16"/>
          <w:szCs w:val="16"/>
        </w:rPr>
        <w:fldChar w:fldCharType="begin" w:fldLock="1"/>
      </w:r>
      <w:r>
        <w:rPr>
          <w:sz w:val="16"/>
          <w:szCs w:val="16"/>
        </w:rPr>
        <w:instrText>ADDIN CSL_CITATION {"citationItems":[{"id":"ITEM-1","itemData":{"DOI":"10.1016/j.ajog.2020.08.034","ISSN":"10976868","PMID":"32861687","abstract":"Background: Intrauterine infection accounts for a quarter of the cases of spontaneous preterm birth; however, at present, it is not possible to efficiently identify pregnant women at risk to deliver preventative treatments. Objective: This study aimed to establish a vaginal microbial DNA test for Australian women in midpregnancy that will identify those at increased risk of spontaneous preterm birth. Study Design: A total of 1000 women with singleton pregnancies were recruited in Perth, Australia. Midvaginal swabs were collected between 12 and 23 weeks’ gestation. DNA was extracted for the detection of 23 risk-related microbial DNA targets by quantitative polymerase chain reaction. Obstetrical history, pregnancy outcome, and demographics were recorded. Results: After excluding 64 women owing to losses to follow-up and insufficient sample for microbial analyses, the final cohort consisted of 936 women of predominantly white race (74.3%). The overall preterm birth rate was 12.6% (118 births); the spontaneous preterm birth rate at &lt;37 weeks’ gestation was 6.2% (2.9% at ≤34 weeks’ gestation), whereas the preterm premature rupture of the membranes rate was 4.2%. No single individual microbial target predicted increased spontaneous preterm birth risk. Conversely, women who subsequently delivered at term had higher amounts of Lactobacillus crispatus, Lactobacillus gasseri, or Lactobacillus jensenii DNA in their vaginal swabs (13.8% spontaneous preterm birth vs 31.2% term; P=.005). In the remaining women, a specific microbial DNA signature was identified that was strongly predictive of spontaneous preterm birth risk, consisting of DNA from Gardnerella vaginalis (clade 4), Lactobacillus iners, and Ureaplasma parvum (serovars 3 and 6). Risk prediction was improved if Fusobacterium nucleatum detection was included in the test algorithm. The final algorithm, which we called the Gardnerella Lactobacillus Ureaplasma (GLU) test, was able to detect women at risk of spontaneous preterm birth at &lt;37 and ≤34 weeks’ gestation, with sensitivities of 37.9% and 44.4%, respectively, and likelihood ratios (plus or minus) of 2.22 per 0.75 and 2.52 per 0.67, respectively. Preterm premature rupture of the membranes was more than twice as common in GLU-positive women. Adjusting for maternal demographics, ethnicity, and clinical history did not improve prediction. Only a history of spontaneous preterm birth was more effective at predicting spontaneous preterm birth than a GLU-positi…","author":[{"dropping-particle":"","family":"Payne","given":"Matthew S.","non-dropping-particle":"","parse-names":false,"suffix":""},{"dropping-particle":"","family":"Newnham","given":"John P.","non-dropping-particle":"","parse-names":false,"suffix":""},{"dropping-particle":"","family":"Doherty","given":"Dorota A.","non-dropping-particle":"","parse-names":false,"suffix":""},{"dropping-particle":"","family":"Furfaro","given":"Lucy L.","non-dropping-particle":"","parse-names":false,"suffix":""},{"dropping-particle":"","family":"Pendal","given":"Narisha L.","non-dropping-particle":"","parse-names":false,"suffix":""},{"dropping-particle":"","family":"Loh","given":"Diane E.","non-dropping-particle":"","parse-names":false,"suffix":""},{"dropping-particle":"","family":"Keelan","given":"Jeffrey A.","non-dropping-particle":"","parse-names":false,"suffix":""}],"container-title":"American Journal of Obstetrics and Gynecology","id":"ITEM-1","issue":"2","issued":{"date-parts":[["2021"]]},"page":"206.e1-206.e23","publisher":"Elsevier Inc.","title":"A specific bacterial DNA signature in the vagina of Australian women in midpregnancy predicts high risk of spontaneous preterm birth (the Predict1000 study)","type":"article-journal","volume":"224"},"uris":["http://www.mendeley.com/documents/?uuid=62ad8a83-b268-444f-b1bf-cb821a889bc9"]}],"mendeley":{"formattedCitation":"&lt;sup&gt;35&lt;/sup&gt;","plainTextFormattedCitation":"35","previouslyFormattedCitation":"&lt;sup&gt;36&lt;/sup&gt;"},"properties":{"noteIndex":0},"schema":"https://github.com/citation-style-language/schema/raw/master/csl-citation.json"}</w:instrText>
      </w:r>
      <w:r w:rsidR="00E6187E">
        <w:rPr>
          <w:sz w:val="16"/>
          <w:szCs w:val="16"/>
        </w:rPr>
        <w:fldChar w:fldCharType="separate"/>
      </w:r>
      <w:r w:rsidRPr="005136FD">
        <w:rPr>
          <w:noProof/>
          <w:sz w:val="16"/>
          <w:szCs w:val="16"/>
          <w:vertAlign w:val="superscript"/>
        </w:rPr>
        <w:t>35</w:t>
      </w:r>
      <w:r w:rsidR="00E6187E">
        <w:rPr>
          <w:sz w:val="16"/>
          <w:szCs w:val="16"/>
        </w:rPr>
        <w:fldChar w:fldCharType="end"/>
      </w:r>
      <w:r w:rsidR="00CF550D">
        <w:rPr>
          <w:b/>
          <w:noProof/>
        </w:rPr>
        <w:br w:type="page"/>
      </w:r>
    </w:p>
    <w:tbl>
      <w:tblPr>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898"/>
        <w:gridCol w:w="898"/>
        <w:gridCol w:w="897"/>
        <w:gridCol w:w="898"/>
        <w:gridCol w:w="898"/>
        <w:gridCol w:w="898"/>
        <w:gridCol w:w="897"/>
      </w:tblGrid>
      <w:tr w:rsidR="00552C46" w:rsidRPr="001823ED" w14:paraId="440BA775" w14:textId="77777777" w:rsidTr="0086354C">
        <w:trPr>
          <w:cantSplit/>
          <w:trHeight w:val="789"/>
        </w:trPr>
        <w:tc>
          <w:tcPr>
            <w:tcW w:w="4248" w:type="dxa"/>
            <w:gridSpan w:val="2"/>
            <w:shd w:val="clear" w:color="auto" w:fill="auto"/>
          </w:tcPr>
          <w:p w14:paraId="677EC6A2" w14:textId="44C04148" w:rsidR="00552C46" w:rsidRPr="001823ED" w:rsidRDefault="00552C46" w:rsidP="005136FD">
            <w:pPr>
              <w:widowControl w:val="0"/>
              <w:jc w:val="center"/>
              <w:rPr>
                <w:rFonts w:cs="Calibri"/>
                <w:b/>
                <w:bCs/>
              </w:rPr>
            </w:pPr>
            <w:r w:rsidRPr="001823ED">
              <w:rPr>
                <w:rFonts w:cs="Calibri"/>
                <w:b/>
                <w:bCs/>
              </w:rPr>
              <w:lastRenderedPageBreak/>
              <w:t xml:space="preserve">Part </w:t>
            </w:r>
            <w:r>
              <w:rPr>
                <w:rFonts w:cs="Calibri"/>
                <w:b/>
                <w:bCs/>
              </w:rPr>
              <w:t>4: Study findings of additional studies that were not used to develop characteristics assessed in current study</w:t>
            </w:r>
          </w:p>
        </w:tc>
        <w:tc>
          <w:tcPr>
            <w:tcW w:w="898" w:type="dxa"/>
            <w:shd w:val="clear" w:color="auto" w:fill="auto"/>
            <w:tcMar>
              <w:top w:w="57" w:type="dxa"/>
              <w:bottom w:w="57" w:type="dxa"/>
            </w:tcMar>
            <w:textDirection w:val="btLr"/>
          </w:tcPr>
          <w:p w14:paraId="2425A23B" w14:textId="71F323AB" w:rsidR="00552C46" w:rsidRPr="001823ED" w:rsidRDefault="00552C46" w:rsidP="005136FD">
            <w:pPr>
              <w:widowControl w:val="0"/>
              <w:ind w:left="113" w:hanging="113"/>
              <w:rPr>
                <w:sz w:val="18"/>
                <w:szCs w:val="18"/>
              </w:rPr>
            </w:pPr>
            <w:proofErr w:type="spellStart"/>
            <w:r>
              <w:rPr>
                <w:sz w:val="18"/>
                <w:szCs w:val="18"/>
              </w:rPr>
              <w:t>Blostein</w:t>
            </w:r>
            <w:proofErr w:type="spellEnd"/>
          </w:p>
          <w:p w14:paraId="52CD6BE0" w14:textId="612C127C" w:rsidR="00552C46" w:rsidRPr="001823ED" w:rsidRDefault="00552C46" w:rsidP="005136FD">
            <w:pPr>
              <w:widowControl w:val="0"/>
              <w:rPr>
                <w:rFonts w:cs="Calibri"/>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{"citationItems":[{"id":"ITEM-1","itemData":{"DOI":"10.1016/j.annepidem.2019.11.004","ISSN":"18732585","PMID":"31883841","abstract":"Purpose: Preterm birth (PTB) is a major cause of neonatal mortality. The vaginal microbiome is associated with PTB, but results vary across racial/ethnic populations. Some evidence suggests gestational age affects this association. We investigated these associations in a novel population, conducting a post hoc analysis assessing if associations differed between women swabbed at different gestational ages. Methods: We compared vaginal microbiomes from women with PTB (n = 25) to a random sample of women with term births (n = 100) among participants in the Pregnancy Outcomes, Maternal and Infant Study, conducted in Lima, Peru. Using DADA2, we identified taxa from 16S DNA sequencing and used Dirichlet multinomial mixture models to group into community state types (CSTs). Results: If gestational age at sampling was not considered, no CST (diverse, Lactobacillus-dominated or Lactobacillus iners–dominated), was associated with PTB. Among women sampled before 12 weeks' gestation, women with Lactobacillus-dominated CSTs were less likely to have a PTB than those with a diverse CST. Among those swabbed between 12 and 16 weeks' gestation, the reverse was true. Conclusions: Our study supports previous literature suggesting that what constitutes a healthy vaginal microbiome varies by race/ethnicity. Longitudinal studies are necessary to disentangle effects of vaginal microbiome differences over gestation.","author":[{"dropping-particle":"","family":"Blostein","given":"Freida","non-dropping-particle":"","parse-names":false,"suffix":""},{"dropping-particle":"","family":"Gelaye","given":"Bizu","non-dropping-particle":"","parse-names":false,"suffix":""},{"dropping-particle":"","family":"Sanchez","given":"Sixto E.","non-dropping-particle":"","parse-names":false,"suffix":""},{"dropping-particle":"","family":"Williams","given":"Michelle A.","non-dropping-particle":"","parse-names":false,"suffix":""},{"dropping-particle":"","family":"Foxman","given":"Betsy","non-dropping-particle":"","parse-names":false,"suffix":""}],"container-title":"Annals of Epidemiology","id":"ITEM-1","issued":{"date-parts":[["2020"]]},"page":"28-34","publisher":"Elsevier Inc","title":"Vaginal microbiome diversity and preterm birth: results of a nested case–control study in Peru","type":"article-journal","volume":"41"},"uris":["http://www.mendeley.com/documents/?uuid=57c65f33-187f-4118-add6-f891c5cf8be8"]}],"mendeley":{"formattedCitation":"&lt;sup&gt;31&lt;/sup&gt;","plainTextFormattedCitation":"31","previouslyFormattedCitation":"&lt;sup&gt;32&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31</w:t>
            </w:r>
            <w:r>
              <w:rPr>
                <w:sz w:val="18"/>
                <w:szCs w:val="18"/>
              </w:rPr>
              <w:fldChar w:fldCharType="end"/>
            </w:r>
          </w:p>
        </w:tc>
        <w:tc>
          <w:tcPr>
            <w:tcW w:w="898" w:type="dxa"/>
            <w:shd w:val="clear" w:color="auto" w:fill="auto"/>
            <w:tcMar>
              <w:top w:w="57" w:type="dxa"/>
              <w:bottom w:w="57" w:type="dxa"/>
            </w:tcMar>
            <w:textDirection w:val="btLr"/>
          </w:tcPr>
          <w:p w14:paraId="35CA5F02" w14:textId="2E83EBE5" w:rsidR="00552C46" w:rsidRPr="001823ED" w:rsidRDefault="00552C46" w:rsidP="005136FD">
            <w:pPr>
              <w:widowControl w:val="0"/>
              <w:ind w:left="113" w:hanging="98"/>
              <w:rPr>
                <w:sz w:val="18"/>
                <w:szCs w:val="18"/>
              </w:rPr>
            </w:pPr>
            <w:r>
              <w:rPr>
                <w:sz w:val="18"/>
                <w:szCs w:val="18"/>
              </w:rPr>
              <w:t>Chang</w:t>
            </w:r>
          </w:p>
          <w:p w14:paraId="2FABAD3D" w14:textId="44359920" w:rsidR="00552C46" w:rsidRPr="001823ED" w:rsidRDefault="00552C46" w:rsidP="005136FD">
            <w:pPr>
              <w:widowControl w:val="0"/>
              <w:rPr>
                <w:rFonts w:cs="Calibri"/>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{"citationItems":[{"id":"ITEM-1","itemData":{"DOI":"10.4014/jmb.1908.08016","ISSN":"17388872","PMID":"31838792","abstract":"The vaginal microbiota may be important for pregnancy prognosis because vaginal dysbiosis during pregnancy appears to be related to preterm birth (PTB) or pregnancy loss. Previous reports have indicated that a Lactobacillus-poor microbial flora in the vagina and intrauterine infection by diverse anaerobes ascending from the vagina are associated with undesirable delivery outcomes. However, no research has involved the use of pyrosequencing analysis to examine vaginal microbiota profiles or their potential associations with high-risk pregnancy in Korean women. Vaginal swabs were collected from 500 Korean women for the identification of community state types (CSTs). Of these, 137 samples were further analyzed using a Roche/454 GS Junior pyrosequencer. Three distinct CSTs were identified based on the dominant vaginal microbes: CST I (Lactobacillus crispatus dominated), CST III (Lactobacillus iners dominated), and CST IV (with diverse species of anaerobes). Twelve of the 67 pregnant women had undesirable pregnancy outcomes (four miscarriages and eight PTBs). The dominant microbe in the vaginal microbiota of women who gave birth at full-term was L. crispatus. In contrast, L. iners was the dominant vaginal microbe in women who miscarried. Most (n = 6/8) vaginal microbiota profiles of women who experienced PTB could be classified as CST IV, with diverse bacteria, including anaerobic vaginal species. The present study provides valuable information regarding the characteristics of the vaginal microbiota of Korean women related to high-risk pregnancy. Investigation of the vaginal microbiotic structure in pregnant Korean women is necessary to enable better prediction of adverse pregnancy outcomes.","author":[{"dropping-particle":"","family":"Chang","given":"Dong Ho","non-dropping-particle":"","parse-names":false,"suffix":""},{"dropping-particle":"","family":"Shin","given":"Jongoh","non-dropping-particle":"","parse-names":false,"suffix":""},{"dropping-particle":"","family":"Rhee","given":"Moon Soo","non-dropping-particle":"","parse-names":false,"suffix":""},{"dropping-particle":"","family":"Park","given":"Kyung Ryang","non-dropping-particle":"","parse-names":false,"suffix":""},{"dropping-particle":"","family":"Cho","given":"Byung Kwan","non-dropping-particle":"","parse-names":false,"suffix":""},{"dropping-particle":"","family":"Lee","given":"Sung Ki","non-dropping-particle":"","parse-names":false,"suffix":""},{"dropping-particle":"","family":"Kim","given":"Byoung Chan","non-dropping-particle":"","parse-names":false,"suffix":""}],"container-title":"Journal of Microbiology and Biotechnology","id":"ITEM-1","issue":"2","issued":{"date-parts":[["2020"]]},"page":"248-258","title":"Vaginal microbiota profiles of native Korean women and associations with high-risk pregnancy","type":"article-journal","volume":"30"},"uris":["http://www.mendeley.com/documents/?uuid=b29ee420-4818-4ff9-921d-4c173ef224a5"]}],"mendeley":{"formattedCitation":"&lt;sup&gt;32&lt;/sup&gt;","plainTextFormattedCitation":"32","previouslyFormattedCitation":"&lt;sup&gt;33&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32</w:t>
            </w:r>
            <w:r>
              <w:rPr>
                <w:sz w:val="18"/>
                <w:szCs w:val="18"/>
              </w:rPr>
              <w:fldChar w:fldCharType="end"/>
            </w:r>
          </w:p>
        </w:tc>
        <w:tc>
          <w:tcPr>
            <w:tcW w:w="897" w:type="dxa"/>
            <w:shd w:val="clear" w:color="auto" w:fill="auto"/>
            <w:tcMar>
              <w:top w:w="57" w:type="dxa"/>
              <w:bottom w:w="57" w:type="dxa"/>
            </w:tcMar>
            <w:textDirection w:val="btLr"/>
          </w:tcPr>
          <w:p w14:paraId="6821CB02" w14:textId="4BAB437F" w:rsidR="00552C46" w:rsidRPr="001823ED" w:rsidRDefault="00552C46" w:rsidP="005136FD">
            <w:pPr>
              <w:widowControl w:val="0"/>
              <w:ind w:left="113" w:hanging="113"/>
              <w:rPr>
                <w:sz w:val="18"/>
                <w:szCs w:val="18"/>
              </w:rPr>
            </w:pPr>
            <w:r>
              <w:rPr>
                <w:sz w:val="18"/>
                <w:szCs w:val="18"/>
              </w:rPr>
              <w:t>Feehily</w:t>
            </w:r>
          </w:p>
          <w:p w14:paraId="7376015C" w14:textId="3B8D2B77" w:rsidR="00552C46" w:rsidRPr="001823ED" w:rsidRDefault="00552C46" w:rsidP="005136FD">
            <w:pPr>
              <w:widowControl w:val="0"/>
              <w:rPr>
                <w:rFonts w:cs="Calibri"/>
                <w:sz w:val="18"/>
                <w:szCs w:val="18"/>
              </w:rPr>
            </w:pPr>
            <w:r w:rsidRPr="001823ED">
              <w:rPr>
                <w:sz w:val="18"/>
                <w:szCs w:val="18"/>
              </w:rPr>
              <w:t>20</w:t>
            </w:r>
            <w:r>
              <w:rPr>
                <w:sz w:val="18"/>
                <w:szCs w:val="18"/>
              </w:rPr>
              <w:t>20</w:t>
            </w:r>
            <w:r>
              <w:rPr>
                <w:sz w:val="18"/>
                <w:szCs w:val="18"/>
              </w:rPr>
              <w:fldChar w:fldCharType="begin" w:fldLock="1"/>
            </w:r>
            <w:r w:rsidR="005136FD">
              <w:rPr>
                <w:sz w:val="18"/>
                <w:szCs w:val="18"/>
              </w:rPr>
              <w:instrText>ADDIN CSL_CITATION {"citationItems":[{"id":"ITEM-1","itemData":{"DOI":"10.1038/s41522-020-00162-8","ISSN":"20555008","PMID":"33184260","abstract":"An association between the vaginal microbiota and preterm birth (PTB) has been reported in several research studies. Population shifts from high proportions of lactobacilli to mixed species communities, as seen with bacterial vaginosis, have been linked to a twofold increased risk of PTB. Despite the increasing number of studies using next-generation sequencing technologies, primarily involving 16S rRNA-based approaches, to investigate the vaginal microbiota during pregnancy, no distinct microbial signature has been associated with PTB. Shotgun metagenomic sequencing offers a powerful tool to reveal community structures and their gene functions at a far greater resolution than amplicon sequencing. In this study, we employ shotgun metagenomic sequencing to compare the vaginal microbiota of women at high risk of preterm birth (n = 35) vs. a low-risk control group (n = 14). Although microbial diversity and richness did not differ between groups, there were significant differences in terms of individual species. In particular, Lactobacillus crispatus was associated with samples from a full-term pregnancy, whereas one community state-type was associated with samples from preterm pregnancies. Furthermore, by predicting gene functions, the functional potential of the preterm microbiota was different from that of full-term equivalent. Taken together, we observed a discrete structural and functional difference in the microbial composition of the vagina in women who deliver preterm. Importance: with an estimated 15 million cases annually, spontaneous preterm birth (PTB) is the leading cause of death in infants under the age of five years. The ability to accurately identify pregnancies at risk of spontaneous PTB is therefore of utmost importance. However, no single cause is attributable. Microbial infection is a known risk factor, yet the role of vaginal microbes is poorly understood. Using high-resolution DNA-sequencing techniques, we investigate the microbial communities present in the vaginal tracts of women deemed high risk for PTB. We confirm that Lactobacillus crispatus is strongly linked to full-term pregnancies, whereas other microbial communities associate with PTB. Importantly, we show that the specific functions of the microbes present in PTB samples differs from FTB samples, highlighting the power of our sequencing approach. This information enables us to begin understanding the specific microbial traits that may be influencing PTB, beyond the presence…","author":[{"dropping-particle":"","family":"Feehily","given":"Conor","non-dropping-particle":"","parse-names":false,"suffix":""},{"dropping-particle":"","family":"Crosby","given":"David","non-dropping-particle":"","parse-names":false,"suffix":""},{"dropping-particle":"","family":"Walsh","given":"Calum J.","non-dropping-particle":"","parse-names":false,"suffix":""},{"dropping-particle":"","family":"Lawton","given":"Elaine M.","non-dropping-particle":"","parse-names":false,"suffix":""},{"dropping-particle":"","family":"Higgins","given":"Shane","non-dropping-particle":"","parse-names":false,"suffix":""},{"dropping-particle":"","family":"McAuliffe","given":"Fionnuala M.","non-dropping-particle":"","parse-names":false,"suffix":""},{"dropping-particle":"","family":"Cotter","given":"Paul D.","non-dropping-particle":"","parse-names":false,"suffix":""}],"container-title":"npj Biofilms and Microbiomes","id":"ITEM-1","issue":"1","issued":{"date-parts":[["2020"]]},"page":"1-9","publisher":"Springer US","title":"Shotgun sequencing of the vaginal microbiome reveals both a species and functional potential signature of preterm birth","type":"article-journal","volume":"6"},"uris":["http://www.mendeley.com/documents/?uuid=a0d2a481-7bd8-46d3-8c69-e4313d828b56"]}],"mendeley":{"formattedCitation":"&lt;sup&gt;33&lt;/sup&gt;","plainTextFormattedCitation":"33","previouslyFormattedCitation":"&lt;sup&gt;34&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33</w:t>
            </w:r>
            <w:r>
              <w:rPr>
                <w:sz w:val="18"/>
                <w:szCs w:val="18"/>
              </w:rPr>
              <w:fldChar w:fldCharType="end"/>
            </w:r>
          </w:p>
        </w:tc>
        <w:tc>
          <w:tcPr>
            <w:tcW w:w="898" w:type="dxa"/>
            <w:shd w:val="clear" w:color="auto" w:fill="auto"/>
            <w:tcMar>
              <w:top w:w="57" w:type="dxa"/>
              <w:bottom w:w="57" w:type="dxa"/>
            </w:tcMar>
            <w:textDirection w:val="btLr"/>
          </w:tcPr>
          <w:p w14:paraId="6B855F81" w14:textId="77777777" w:rsidR="00552C46" w:rsidRPr="001823ED" w:rsidRDefault="00552C46" w:rsidP="005136FD">
            <w:pPr>
              <w:widowControl w:val="0"/>
              <w:ind w:left="113" w:hanging="113"/>
              <w:rPr>
                <w:sz w:val="18"/>
                <w:szCs w:val="18"/>
              </w:rPr>
            </w:pPr>
            <w:r>
              <w:rPr>
                <w:sz w:val="18"/>
                <w:szCs w:val="18"/>
              </w:rPr>
              <w:t>Odogwu</w:t>
            </w:r>
          </w:p>
          <w:p w14:paraId="741C4E3B" w14:textId="7CBFF00D" w:rsidR="00552C46" w:rsidRPr="001823ED" w:rsidRDefault="00552C46" w:rsidP="005136FD">
            <w:pPr>
              <w:widowControl w:val="0"/>
              <w:rPr>
                <w:rFonts w:cs="Calibri"/>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{"citationItems":[{"id":"ITEM-1","itemData":{"DOI":"10.1128/msphere.01261-20","ISSN":"2379-5042","PMID":"33504666","abstract":" Preterm birth (PTB) is the largest contributor to infant death in sub-Saharan Africa and globally. With a global estimate of 773,600, Nigeria has the third highest rate of PTB worldwide. There have been a number of microbiome profiling studies to identify vaginal microbiomes suggestive of preterm and healthy birth outcome. However, studies on the pregnancy vaginal microbiome in Africa are sparse with none performed in Nigeria. Moreover, few studies have considered the concurrent impact of steroid hormones and the vaginal microbiome on pregnancy outcome. We assessed two key determinants of pregnancy progression to gain a deeper understanding of the interactions between vaginal microbiome composition, steroid hormone concentrations, and pregnancy outcome. Vaginal swabs and blood samples were prospectively collected from healthy midtrimester pregnant women. Vaginal microbiome compositions were assessed by analysis of the V3-V5 region of 16S rRNA genes, and potential functional metabolic traits of identified vaginal microbiomes were imputed by PICRUSt (phylogenetic investigation of communities by reconstruction of unobserved states) analysis, while plasma estradiol (E2) and progesterone (P1) levels were quantified by the competitive enzyme-linked immunosorbent assay (ELISA). PTB vaginal samples were characterized by increased microbial richness, high diversity, and depletion of lactobacilli compared to term delivery samples. Women who delivered preterm were characterized by an Atopobium vaginae -dominated vagitype. High relative abundance of Atopobium vaginae at the midtrimester was highly predictive of PTB (area under the receiving operator characteristics [AUROC] of 0.983). There was a marked overlap in the range of plasma E2 and P1 values between term and PTB groups.  IMPORTANCE Giving birth too soon accounts for half of all newborn deaths worldwide. Clinical symptoms alone are not sufficient to identify women at risk of giving birth too early, as such a pragmatic approach to reducing the incidence of preterm birth entails developing early strategies for intervention before it materializes. In view of the role played by the vaginal microbiome and maternal steroid hormones in determining obstetric outcome, we assessed the vaginal microbiome composition and steroid hormone during pregnancy and examined their relationship in predicting preterm birth risk in Nigerian women. This study highlights a potential early-driver microbial marker for prediction of pr…","author":[{"dropping-particle":"","family":"Odogwu","given":"Nkechi Martina","non-dropping-particle":"","parse-names":false,"suffix":""},{"dropping-particle":"","family":"Chen","given":"Jun","non-dropping-particle":"","parse-names":false,"suffix":""},{"dropping-particle":"","family":"Onebunne","given":"Chinedum Amara","non-dropping-particle":"","parse-names":false,"suffix":""},{"dropping-particle":"","family":"Jeraldo","given":"Patricio","non-dropping-particle":"","parse-names":false,"suffix":""},{"dropping-particle":"","family":"Yang","given":"Lu","non-dropping-particle":"","parse-names":false,"suffix":""},{"dropping-particle":"","family":"Johnson","given":"Stephen","non-dropping-particle":"","parse-names":false,"suffix":""},{"dropping-particle":"","family":"Ayeni","given":"Funmilola A.","non-dropping-particle":"","parse-names":false,"suffix":""},{"dropping-particle":"","family":"Walther-Antonio","given":"Marina R. S.","non-dropping-particle":"","parse-names":false,"suffix":""},{"dropping-particle":"","family":"Olayemi","given":"Oladapo O.","non-dropping-particle":"","parse-names":false,"suffix":""},{"dropping-particle":"","family":"Chia","given":"Nicholas","non-dropping-particle":"","parse-names":false,"suffix":""},{"dropping-particle":"","family":"Omigbodun","given":"Akinyinka O.","non-dropping-particle":"","parse-names":false,"suffix":""}],"container-title":"mSphere","id":"ITEM-1","issue":"1","issued":{"date-parts":[["2021"]]},"page":"1-20","title":" Predominance of Atopobium vaginae at Midtrimester: a Potential Indicator of Preterm Birth Risk in a Nigerian Cohort ","type":"article-journal","volume":"6"},"uris":["http://www.mendeley.com/documents/?uuid=7c5eb903-26b9-492d-a5e2-f4966d5af21d"]}],"mendeley":{"formattedCitation":"&lt;sup&gt;34&lt;/sup&gt;","plainTextFormattedCitation":"34","previouslyFormattedCitation":"&lt;sup&gt;35&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34</w:t>
            </w:r>
            <w:r>
              <w:rPr>
                <w:sz w:val="18"/>
                <w:szCs w:val="18"/>
              </w:rPr>
              <w:fldChar w:fldCharType="end"/>
            </w:r>
          </w:p>
        </w:tc>
        <w:tc>
          <w:tcPr>
            <w:tcW w:w="898" w:type="dxa"/>
            <w:shd w:val="clear" w:color="auto" w:fill="auto"/>
            <w:tcMar>
              <w:top w:w="57" w:type="dxa"/>
              <w:bottom w:w="57" w:type="dxa"/>
            </w:tcMar>
            <w:textDirection w:val="btLr"/>
          </w:tcPr>
          <w:p w14:paraId="7CF21A87" w14:textId="1A829FD2" w:rsidR="00552C46" w:rsidRPr="001823ED" w:rsidRDefault="00552C46" w:rsidP="005136FD">
            <w:pPr>
              <w:widowControl w:val="0"/>
              <w:ind w:left="113" w:hanging="113"/>
              <w:rPr>
                <w:sz w:val="18"/>
                <w:szCs w:val="18"/>
              </w:rPr>
            </w:pPr>
            <w:r>
              <w:rPr>
                <w:sz w:val="18"/>
                <w:szCs w:val="18"/>
              </w:rPr>
              <w:t>Payne</w:t>
            </w:r>
          </w:p>
          <w:p w14:paraId="6EF098DD" w14:textId="3436B67B" w:rsidR="00552C46" w:rsidRPr="001823ED" w:rsidRDefault="00552C46" w:rsidP="005136FD">
            <w:pPr>
              <w:widowControl w:val="0"/>
              <w:rPr>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{"citationItems":[{"id":"ITEM-1","itemData":{"DOI":"10.1016/j.ajog.2020.08.034","ISSN":"10976868","PMID":"32861687","abstract":"Background: Intrauterine infection accounts for a quarter of the cases of spontaneous preterm birth; however, at present, it is not possible to efficiently identify pregnant women at risk to deliver preventative treatments. Objective: This study aimed to establish a vaginal microbial DNA test for Australian women in midpregnancy that will identify those at increased risk of spontaneous preterm birth. Study Design: A total of 1000 women with singleton pregnancies were recruited in Perth, Australia. Midvaginal swabs were collected between 12 and 23 weeks’ gestation. DNA was extracted for the detection of 23 risk-related microbial DNA targets by quantitative polymerase chain reaction. Obstetrical history, pregnancy outcome, and demographics were recorded. Results: After excluding 64 women owing to losses to follow-up and insufficient sample for microbial analyses, the final cohort consisted of 936 women of predominantly white race (74.3%). The overall preterm birth rate was 12.6% (118 births); the spontaneous preterm birth rate at &lt;37 weeks’ gestation was 6.2% (2.9% at ≤34 weeks’ gestation), whereas the preterm premature rupture of the membranes rate was 4.2%. No single individual microbial target predicted increased spontaneous preterm birth risk. Conversely, women who subsequently delivered at term had higher amounts of Lactobacillus crispatus, Lactobacillus gasseri, or Lactobacillus jensenii DNA in their vaginal swabs (13.8% spontaneous preterm birth vs 31.2% term; P=.005). In the remaining women, a specific microbial DNA signature was identified that was strongly predictive of spontaneous preterm birth risk, consisting of DNA from Gardnerella vaginalis (clade 4), Lactobacillus iners, and Ureaplasma parvum (serovars 3 and 6). Risk prediction was improved if Fusobacterium nucleatum detection was included in the test algorithm. The final algorithm, which we called the Gardnerella Lactobacillus Ureaplasma (GLU) test, was able to detect women at risk of spontaneous preterm birth at &lt;37 and ≤34 weeks’ gestation, with sensitivities of 37.9% and 44.4%, respectively, and likelihood ratios (plus or minus) of 2.22 per 0.75 and 2.52 per 0.67, respectively. Preterm premature rupture of the membranes was more than twice as common in GLU-positive women. Adjusting for maternal demographics, ethnicity, and clinical history did not improve prediction. Only a history of spontaneous preterm birth was more effective at predicting spontaneous preterm birth than a GLU-positi…","author":[{"dropping-particle":"","family":"Payne","given":"Matthew S.","non-dropping-particle":"","parse-names":false,"suffix":""},{"dropping-particle":"","family":"Newnham","given":"John P.","non-dropping-particle":"","parse-names":false,"suffix":""},{"dropping-particle":"","family":"Doherty","given":"Dorota A.","non-dropping-particle":"","parse-names":false,"suffix":""},{"dropping-particle":"","family":"Furfaro","given":"Lucy L.","non-dropping-particle":"","parse-names":false,"suffix":""},{"dropping-particle":"","family":"Pendal","given":"Narisha L.","non-dropping-particle":"","parse-names":false,"suffix":""},{"dropping-particle":"","family":"Loh","given":"Diane E.","non-dropping-particle":"","parse-names":false,"suffix":""},{"dropping-particle":"","family":"Keelan","given":"Jeffrey A.","non-dropping-particle":"","parse-names":false,"suffix":""}],"container-title":"American Journal of Obstetrics and Gynecology","id":"ITEM-1","issue":"2","issued":{"date-parts":[["2021"]]},"page":"206.e1-206.e23","publisher":"Elsevier Inc.","title":"A specific bacterial DNA signature in the vagina of Australian women in midpregnancy predicts high risk of spontaneous preterm birth (the Predict1000 study)","type":"article-journal","volume":"224"},"uris":["http://www.mendeley.com/documents/?uuid=62ad8a83-b268-444f-b1bf-cb821a889bc9"]}],"mendeley":{"formattedCitation":"&lt;sup&gt;35&lt;/sup&gt;","plainTextFormattedCitation":"35","previouslyFormattedCitation":"&lt;sup&gt;36&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35</w:t>
            </w:r>
            <w:r>
              <w:rPr>
                <w:sz w:val="18"/>
                <w:szCs w:val="18"/>
              </w:rPr>
              <w:fldChar w:fldCharType="end"/>
            </w:r>
          </w:p>
        </w:tc>
        <w:tc>
          <w:tcPr>
            <w:tcW w:w="898" w:type="dxa"/>
            <w:shd w:val="clear" w:color="auto" w:fill="auto"/>
            <w:tcMar>
              <w:top w:w="57" w:type="dxa"/>
              <w:bottom w:w="0" w:type="dxa"/>
            </w:tcMar>
            <w:textDirection w:val="btLr"/>
          </w:tcPr>
          <w:p w14:paraId="1F253ED0" w14:textId="44FB5308" w:rsidR="00552C46" w:rsidRPr="001823ED" w:rsidRDefault="00552C46" w:rsidP="005136FD">
            <w:pPr>
              <w:widowControl w:val="0"/>
              <w:ind w:left="113" w:hanging="113"/>
              <w:rPr>
                <w:sz w:val="18"/>
                <w:szCs w:val="18"/>
              </w:rPr>
            </w:pPr>
            <w:r>
              <w:rPr>
                <w:sz w:val="18"/>
                <w:szCs w:val="18"/>
              </w:rPr>
              <w:t>Short</w:t>
            </w:r>
          </w:p>
          <w:p w14:paraId="72E77405" w14:textId="6FDD684B" w:rsidR="00552C46" w:rsidRPr="001823ED" w:rsidRDefault="00552C46" w:rsidP="005136FD">
            <w:pPr>
              <w:widowControl w:val="0"/>
              <w:rPr>
                <w:sz w:val="18"/>
                <w:szCs w:val="18"/>
              </w:rPr>
            </w:pPr>
            <w:r w:rsidRPr="001823ED">
              <w:rPr>
                <w:sz w:val="18"/>
                <w:szCs w:val="18"/>
              </w:rPr>
              <w:t>20</w:t>
            </w:r>
            <w:r>
              <w:rPr>
                <w:sz w:val="18"/>
                <w:szCs w:val="18"/>
              </w:rPr>
              <w:t>21</w:t>
            </w:r>
            <w:r>
              <w:rPr>
                <w:sz w:val="18"/>
                <w:szCs w:val="18"/>
              </w:rPr>
              <w:fldChar w:fldCharType="begin" w:fldLock="1"/>
            </w:r>
            <w:r w:rsidR="005136FD">
              <w:rPr>
                <w:sz w:val="18"/>
                <w:szCs w:val="18"/>
              </w:rPr>
              <w:instrText>ADDIN CSL_CITATION {"citationItems":[{"id":"ITEM-1","itemData":{"DOI":"10.3389/fcimb.2020.596917","ISSN":"22352988","PMID":"33643930","abstract":"Background: Pregnant women living with HIV-1 infection (PWLWH) have an elevated risk of preterm birth (PTB) of unknown aetiology, which remains after successful suppression of HIV. Women at high risk for HIV have a common bacterial profile which has been associated with poor birth outcomes. We set out to explore factors associated with gestational age at delivery of PWLWH in a UK population. Methods: Prospective study of PWLWH (n = 53) in whom the vaginal microbiota and cervicovaginal cytokine milieu were assessed using metataxonomics and multiplexed immunoassays, respectively. Cross-sectional characterisation of vaginal microbiota in PWLWH were compared with 22 HIV uninfected pregnant women (HUPW) at a similar second trimester timepoint. Within PWLWH the relationships between bacterial composition, inflammatory response, and gestational age at delivery were explored. Findings: There was a high rate of PTB among PWLWH (12%). In the second trimester the vaginal microbiota was more diverse in PWLWH than in HUPW (Inverse Simpson Index, p = 0.0004 and Species Observed, p = 0.009). PWLWH had a lower prevalence of L. crispatus dominant vaginal microbiota group (VMB I, 15 vs 54%) than HUPW and higher prevalence of L. iners dominant (VMB III, 36 vs 9% and VMB IIIB, 15 vs 5%) and mixed anaerobes (VMB IV, 21 vs 0%). Across the second and third trimesters in PWLWH, VMB III/IIIB and IV were associated with PTB and with increased local inflammation [cervicovaginal fluid (CVF) cytokine concentrations in upper quartile]. High bacterial diversity and anaerobic bacterial abundance were also associated with CVF pro-inflammatory cytokines, most notably IL-1β. Interpretation: There is an association between local inflammation, vaginal dysbiosis and PTB in PWLWH. Understanding the potential of antiretroviral therapies to influence this cascade will be important to improve birth outcomes in this population.","author":[{"dropping-particle":"","family":"Short","given":"Charlotte Eve S.","non-dropping-particle":"","parse-names":false,"suffix":""},{"dropping-particle":"","family":"Brown","given":"Richard G.","non-dropping-particle":"","parse-names":false,"suffix":""},{"dropping-particle":"","family":"Quinlan","given":"Rachael","non-dropping-particle":"","parse-names":false,"suffix":""},{"dropping-particle":"","family":"Lee","given":"Yun S.","non-dropping-particle":"","parse-names":false,"suffix":""},{"dropping-particle":"","family":"Smith","given":"Ann","non-dropping-particle":"","parse-names":false,"suffix":""},{"dropping-particle":"","family":"Marchesi","given":"Julian R.","non-dropping-particle":"","parse-names":false,"suffix":""},{"dropping-particle":"","family":"Shattock","given":"Robin","non-dropping-particle":"","parse-names":false,"suffix":""},{"dropping-particle":"","family":"Bennett","given":"Phillip R.","non-dropping-particle":"","parse-names":false,"suffix":""},{"dropping-particle":"","family":"Taylor","given":"Graham P.","non-dropping-particle":"","parse-names":false,"suffix":""},{"dropping-particle":"","family":"MacIntyre","given":"David A.","non-dropping-particle":"","parse-names":false,"suffix":""}],"container-title":"Frontiers in Cellular and Infection Microbiology","id":"ITEM-1","issue":"February","issued":{"date-parts":[["2021"]]},"page":"1-12","title":"Lactobacillus-Depleted Vaginal Microbiota in Pregnant Women Living With HIV-1 Infection Are Associated With Increased Local Inflammation and Preterm Birth","type":"article-journal","volume":"10"},"uris":["http://www.mendeley.com/documents/?uuid=51377bf4-a5f4-4336-b0a6-3af636876413"]}],"mendeley":{"formattedCitation":"&lt;sup&gt;36&lt;/sup&gt;","plainTextFormattedCitation":"36","previouslyFormattedCitation":"&lt;sup&gt;37&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36</w:t>
            </w:r>
            <w:r>
              <w:rPr>
                <w:sz w:val="18"/>
                <w:szCs w:val="18"/>
              </w:rPr>
              <w:fldChar w:fldCharType="end"/>
            </w:r>
          </w:p>
        </w:tc>
        <w:tc>
          <w:tcPr>
            <w:tcW w:w="897" w:type="dxa"/>
            <w:shd w:val="clear" w:color="auto" w:fill="auto"/>
            <w:tcMar>
              <w:top w:w="57" w:type="dxa"/>
              <w:bottom w:w="57" w:type="dxa"/>
            </w:tcMar>
            <w:textDirection w:val="btLr"/>
          </w:tcPr>
          <w:p w14:paraId="345AE871" w14:textId="32C51566" w:rsidR="00552C46" w:rsidRPr="001823ED" w:rsidRDefault="00552C46" w:rsidP="005136FD">
            <w:pPr>
              <w:widowControl w:val="0"/>
              <w:rPr>
                <w:rFonts w:cs="Calibri"/>
                <w:sz w:val="18"/>
                <w:szCs w:val="18"/>
              </w:rPr>
            </w:pPr>
            <w:r>
              <w:rPr>
                <w:sz w:val="18"/>
                <w:szCs w:val="18"/>
              </w:rPr>
              <w:t>Kumar</w:t>
            </w:r>
            <w:r w:rsidRPr="001823ED">
              <w:rPr>
                <w:sz w:val="18"/>
                <w:szCs w:val="18"/>
              </w:rPr>
              <w:t xml:space="preserve"> 20</w:t>
            </w:r>
            <w:r>
              <w:rPr>
                <w:sz w:val="18"/>
                <w:szCs w:val="18"/>
              </w:rPr>
              <w:t>21</w:t>
            </w:r>
            <w:r>
              <w:rPr>
                <w:sz w:val="18"/>
                <w:szCs w:val="18"/>
              </w:rPr>
              <w:fldChar w:fldCharType="begin" w:fldLock="1"/>
            </w:r>
            <w:r w:rsidR="005136FD">
              <w:rPr>
                <w:sz w:val="18"/>
                <w:szCs w:val="18"/>
              </w:rPr>
              <w:instrText>ADDIN CSL_CITATION {"citationItems":[{"id":"ITEM-1","itemData":{"DOI":"10.3389/fcimb.2021.639665","ISSN":"22352988","abstract":" Preterm birth (PTB) is the most common cause of neonatal morbidity and mortality worldwide. Approximately half of PTBs is linked with microbial etiologies, including pathologic changes to the vaginal microbiota, which vary according to ethnicity. Globally more than 50% of PTBs occur in Asia, but studies of the vaginal microbiome and its association with pregnancy outcomes in Asian women are lacking. This study aimed to longitudinally analyzed the vaginal microbiome and cytokine environment of 18 Karen and Burman pregnant women who delivered preterm and 36 matched controls delivering at full term. Using 16S ribosomal RNA gene sequencing we identified a predictive vaginal microbiota signature for PTB that was detectable as early as the first trimester of pregnancy, characterized by higher levels of Prevotella buccalis , and lower levels of Lactobacillus crispatus and Finegoldia , accompanied by decreased levels of cytokines including IFNγ, IL-4, and TNFα. Differences in the vaginal microbial diversity and local vaginal immune environment were associated with greater risk of preterm birth. Our findings highlight new opportunities to predict PTB in Asian women in low-resource settings who are at highest risk of adverse outcomes from unexpected PTB, as well as in Burman/Karen ethnic minority groups in high-resource regions. ","author":[{"dropping-particle":"","family":"Kumar","given":"Manoj","non-dropping-particle":"","parse-names":false,"suffix":""},{"dropping-particle":"","family":"Murugesan","given":"Selvasankar","non-dropping-particle":"","parse-names":false,"suffix":""},{"dropping-particle":"","family":"Singh","given":"Parul","non-dropping-particle":"","parse-names":false,"suffix":""},{"dropping-particle":"","family":"Saadaoui","given":"Marwa","non-dropping-particle":"","parse-names":false,"suffix":""},{"dropping-particle":"","family":"Elhag","given":"Duaa Ahmed","non-dropping-particle":"","parse-names":false,"suffix":""},{"dropping-particle":"","family":"Terranegra","given":"Annalisa","non-dropping-particle":"","parse-names":false,"suffix":""},{"dropping-particle":"","family":"Kabeer","given":"Basirudeen Syed Ahamed","non-dropping-particle":"","parse-names":false,"suffix":""},{"dropping-particle":"","family":"Marr","given":"Alexandra K.","non-dropping-particle":"","parse-names":false,"suffix":""},{"dropping-particle":"","family":"Kino","given":"Tomoshige","non-dropping-particle":"","parse-names":false,"suffix":""},{"dropping-particle":"","family":"Brummaier","given":"Tobias","non-dropping-particle":"","parse-names":false,"suffix":""},{"dropping-particle":"","family":"McGready","given":"Rose","non-dropping-particle":"","parse-names":false,"suffix":""},{"dropping-particle":"","family":"Nosten","given":"François","non-dropping-particle":"","parse-names":false,"suffix":""},{"dropping-particle":"","family":"Chaussabel","given":"Damien","non-dropping-particle":"","parse-names":false,"suffix":""},{"dropping-particle":"","family":"Khodor","given":"Souhaila","non-dropping-particle":"Al","parse-names":false,"suffix":""}],"container-title":"Frontiers in Cellular and Infection Microbiology","id":"ITEM-1","issue":"March","issued":{"date-parts":[["2021"]]},"page":"1-16","title":"Vaginal Microbiota and Cytokine Levels Predict Preterm Delivery in Asian Women","type":"article-journal","volume":"11"},"uris":["http://www.mendeley.com/documents/?uuid=2fdc1e5b-500d-4734-a89a-7a50b7a94bcc"]}],"mendeley":{"formattedCitation":"&lt;sup&gt;37&lt;/sup&gt;","plainTextFormattedCitation":"37","previouslyFormattedCitation":"&lt;sup&gt;38&lt;/sup&gt;"},"properties":{"noteIndex":0},"schema":"https://github.com/citation-style-language/schema/raw/master/csl-citation.json"}</w:instrText>
            </w:r>
            <w:r>
              <w:rPr>
                <w:sz w:val="18"/>
                <w:szCs w:val="18"/>
              </w:rPr>
              <w:fldChar w:fldCharType="separate"/>
            </w:r>
            <w:r w:rsidR="005136FD" w:rsidRPr="005136FD">
              <w:rPr>
                <w:noProof/>
                <w:sz w:val="18"/>
                <w:szCs w:val="18"/>
                <w:vertAlign w:val="superscript"/>
              </w:rPr>
              <w:t>37</w:t>
            </w:r>
            <w:r>
              <w:rPr>
                <w:sz w:val="18"/>
                <w:szCs w:val="18"/>
              </w:rPr>
              <w:fldChar w:fldCharType="end"/>
            </w:r>
          </w:p>
        </w:tc>
      </w:tr>
      <w:tr w:rsidR="00552C46" w:rsidRPr="001823ED" w14:paraId="41E1091D" w14:textId="77777777" w:rsidTr="0086354C">
        <w:trPr>
          <w:trHeight w:val="292"/>
        </w:trPr>
        <w:tc>
          <w:tcPr>
            <w:tcW w:w="846" w:type="dxa"/>
            <w:vMerge w:val="restart"/>
            <w:shd w:val="clear" w:color="auto" w:fill="auto"/>
            <w:textDirection w:val="btLr"/>
          </w:tcPr>
          <w:p w14:paraId="0E241D62" w14:textId="77777777" w:rsidR="00552C46" w:rsidRPr="001823ED" w:rsidRDefault="00552C46" w:rsidP="005136FD">
            <w:pPr>
              <w:widowControl w:val="0"/>
              <w:ind w:left="113" w:right="113"/>
              <w:jc w:val="center"/>
              <w:rPr>
                <w:rFonts w:cs="Calibri"/>
              </w:rPr>
            </w:pPr>
            <w:r w:rsidRPr="001823ED">
              <w:rPr>
                <w:rFonts w:cs="Calibri"/>
              </w:rPr>
              <w:t>Global sample assessments</w:t>
            </w:r>
          </w:p>
        </w:tc>
        <w:tc>
          <w:tcPr>
            <w:tcW w:w="3402" w:type="dxa"/>
            <w:shd w:val="clear" w:color="auto" w:fill="auto"/>
          </w:tcPr>
          <w:p w14:paraId="1A87F5F8" w14:textId="77777777" w:rsidR="00552C46" w:rsidRPr="001823ED" w:rsidRDefault="00552C46" w:rsidP="005136FD">
            <w:pPr>
              <w:widowControl w:val="0"/>
              <w:rPr>
                <w:rFonts w:cs="Calibri"/>
                <w:sz w:val="20"/>
                <w:szCs w:val="20"/>
              </w:rPr>
            </w:pPr>
            <w:r w:rsidRPr="001823ED">
              <w:rPr>
                <w:rFonts w:cs="Calibri"/>
                <w:sz w:val="20"/>
                <w:szCs w:val="20"/>
              </w:rPr>
              <w:t>Species richness</w:t>
            </w:r>
          </w:p>
        </w:tc>
        <w:tc>
          <w:tcPr>
            <w:tcW w:w="898" w:type="dxa"/>
            <w:shd w:val="clear" w:color="auto" w:fill="D9D9D9" w:themeFill="background1" w:themeFillShade="D9"/>
          </w:tcPr>
          <w:p w14:paraId="67124624" w14:textId="77777777" w:rsidR="00552C46" w:rsidRPr="001823ED" w:rsidRDefault="00552C46" w:rsidP="005136FD">
            <w:pPr>
              <w:widowControl w:val="0"/>
              <w:ind w:firstLine="360"/>
              <w:jc w:val="center"/>
              <w:rPr>
                <w:rFonts w:cs="Calibri"/>
              </w:rPr>
            </w:pPr>
          </w:p>
        </w:tc>
        <w:tc>
          <w:tcPr>
            <w:tcW w:w="898" w:type="dxa"/>
            <w:shd w:val="clear" w:color="auto" w:fill="D9D9D9" w:themeFill="background1" w:themeFillShade="D9"/>
          </w:tcPr>
          <w:p w14:paraId="50BA039A" w14:textId="015F9120" w:rsidR="00552C46" w:rsidRPr="001823ED" w:rsidRDefault="00552C46" w:rsidP="005136FD">
            <w:pPr>
              <w:widowControl w:val="0"/>
              <w:jc w:val="center"/>
              <w:rPr>
                <w:rFonts w:cs="Calibri"/>
                <w:sz w:val="20"/>
                <w:szCs w:val="20"/>
              </w:rPr>
            </w:pPr>
          </w:p>
        </w:tc>
        <w:tc>
          <w:tcPr>
            <w:tcW w:w="897" w:type="dxa"/>
            <w:shd w:val="clear" w:color="auto" w:fill="auto"/>
          </w:tcPr>
          <w:p w14:paraId="0B291D11" w14:textId="159F3141"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434CBACA" w14:textId="516620A4" w:rsidR="00552C46" w:rsidRPr="001823ED" w:rsidRDefault="00552C46" w:rsidP="005136FD">
            <w:pPr>
              <w:widowControl w:val="0"/>
              <w:jc w:val="center"/>
              <w:rPr>
                <w:rFonts w:cs="Calibri"/>
              </w:rPr>
            </w:pPr>
            <w:r w:rsidRPr="001823ED">
              <w:rPr>
                <w:rFonts w:cs="Arial"/>
                <w:b/>
                <w:bCs/>
                <w:sz w:val="20"/>
                <w:szCs w:val="20"/>
                <w:shd w:val="clear" w:color="auto" w:fill="FFFFFF"/>
              </w:rPr>
              <w:t>↑</w:t>
            </w:r>
          </w:p>
        </w:tc>
        <w:tc>
          <w:tcPr>
            <w:tcW w:w="898" w:type="dxa"/>
            <w:shd w:val="clear" w:color="auto" w:fill="D9D9D9" w:themeFill="background1" w:themeFillShade="D9"/>
          </w:tcPr>
          <w:p w14:paraId="71A6B843" w14:textId="0DF9120F"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23F7DD39" w14:textId="461CEF95" w:rsidR="00552C46" w:rsidRPr="001823ED" w:rsidRDefault="00552C46" w:rsidP="005136FD">
            <w:pPr>
              <w:widowControl w:val="0"/>
              <w:jc w:val="center"/>
              <w:rPr>
                <w:rFonts w:cs="Calibri"/>
                <w:sz w:val="20"/>
                <w:szCs w:val="20"/>
              </w:rPr>
            </w:pPr>
          </w:p>
        </w:tc>
        <w:tc>
          <w:tcPr>
            <w:tcW w:w="897" w:type="dxa"/>
            <w:shd w:val="clear" w:color="auto" w:fill="auto"/>
          </w:tcPr>
          <w:p w14:paraId="76EEA959" w14:textId="78FF574D"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r>
      <w:tr w:rsidR="00552C46" w:rsidRPr="001823ED" w14:paraId="00FDED97" w14:textId="77777777" w:rsidTr="0086354C">
        <w:trPr>
          <w:trHeight w:val="292"/>
        </w:trPr>
        <w:tc>
          <w:tcPr>
            <w:tcW w:w="846" w:type="dxa"/>
            <w:vMerge/>
            <w:shd w:val="clear" w:color="auto" w:fill="auto"/>
          </w:tcPr>
          <w:p w14:paraId="71276D42" w14:textId="77777777" w:rsidR="00552C46" w:rsidRPr="001823ED" w:rsidRDefault="00552C46" w:rsidP="005136FD">
            <w:pPr>
              <w:widowControl w:val="0"/>
              <w:ind w:firstLine="360"/>
              <w:rPr>
                <w:rFonts w:cs="Calibri"/>
                <w:sz w:val="20"/>
                <w:szCs w:val="20"/>
              </w:rPr>
            </w:pPr>
          </w:p>
        </w:tc>
        <w:tc>
          <w:tcPr>
            <w:tcW w:w="3402" w:type="dxa"/>
            <w:shd w:val="clear" w:color="auto" w:fill="auto"/>
          </w:tcPr>
          <w:p w14:paraId="10977803" w14:textId="77777777" w:rsidR="00552C46" w:rsidRPr="001823ED" w:rsidRDefault="00552C46" w:rsidP="005136FD">
            <w:pPr>
              <w:widowControl w:val="0"/>
              <w:rPr>
                <w:rFonts w:cs="Calibri"/>
                <w:sz w:val="20"/>
                <w:szCs w:val="20"/>
              </w:rPr>
            </w:pPr>
            <w:r w:rsidRPr="001823ED">
              <w:rPr>
                <w:rFonts w:cs="Calibri"/>
                <w:sz w:val="20"/>
                <w:szCs w:val="20"/>
              </w:rPr>
              <w:t>Species diversity (alpha diversity)</w:t>
            </w:r>
          </w:p>
        </w:tc>
        <w:tc>
          <w:tcPr>
            <w:tcW w:w="898" w:type="dxa"/>
            <w:shd w:val="clear" w:color="auto" w:fill="auto"/>
          </w:tcPr>
          <w:p w14:paraId="468E0147" w14:textId="62B7D793"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695D9732" w14:textId="7646AF91"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467E46C9" w14:textId="173152C6"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756E5CE4" w14:textId="55FF1ECD"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themeFill="background1" w:themeFillShade="D9"/>
          </w:tcPr>
          <w:p w14:paraId="25EE88CC" w14:textId="2736737C"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4B02B839" w14:textId="5F2000AB" w:rsidR="00552C46" w:rsidRPr="001823ED" w:rsidRDefault="00552C46" w:rsidP="005136FD">
            <w:pPr>
              <w:widowControl w:val="0"/>
              <w:jc w:val="center"/>
              <w:rPr>
                <w:rFonts w:cs="Calibri"/>
                <w:sz w:val="20"/>
                <w:szCs w:val="20"/>
              </w:rPr>
            </w:pPr>
          </w:p>
        </w:tc>
        <w:tc>
          <w:tcPr>
            <w:tcW w:w="897" w:type="dxa"/>
            <w:shd w:val="clear" w:color="auto" w:fill="auto"/>
          </w:tcPr>
          <w:p w14:paraId="426252CD" w14:textId="76C518BC"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r>
      <w:tr w:rsidR="00552C46" w:rsidRPr="001823ED" w14:paraId="4BDACB51" w14:textId="77777777" w:rsidTr="0086354C">
        <w:trPr>
          <w:trHeight w:val="133"/>
        </w:trPr>
        <w:tc>
          <w:tcPr>
            <w:tcW w:w="846" w:type="dxa"/>
            <w:vMerge/>
            <w:shd w:val="clear" w:color="auto" w:fill="auto"/>
          </w:tcPr>
          <w:p w14:paraId="289071D4" w14:textId="77777777" w:rsidR="00552C46" w:rsidRPr="001823ED" w:rsidRDefault="00552C46" w:rsidP="005136FD">
            <w:pPr>
              <w:widowControl w:val="0"/>
              <w:ind w:firstLine="360"/>
              <w:rPr>
                <w:rFonts w:cs="Calibri"/>
                <w:sz w:val="20"/>
                <w:szCs w:val="20"/>
              </w:rPr>
            </w:pPr>
          </w:p>
        </w:tc>
        <w:tc>
          <w:tcPr>
            <w:tcW w:w="3402" w:type="dxa"/>
            <w:shd w:val="clear" w:color="auto" w:fill="auto"/>
          </w:tcPr>
          <w:p w14:paraId="486B9FCB" w14:textId="77777777" w:rsidR="00552C46" w:rsidRPr="001823ED" w:rsidRDefault="00552C46" w:rsidP="005136FD">
            <w:pPr>
              <w:widowControl w:val="0"/>
              <w:rPr>
                <w:rFonts w:cs="Calibri"/>
                <w:sz w:val="20"/>
                <w:szCs w:val="20"/>
              </w:rPr>
            </w:pPr>
            <w:r w:rsidRPr="001823ED">
              <w:rPr>
                <w:rFonts w:cs="Calibri"/>
                <w:sz w:val="20"/>
                <w:szCs w:val="20"/>
              </w:rPr>
              <w:t>Community state types</w:t>
            </w:r>
          </w:p>
        </w:tc>
        <w:tc>
          <w:tcPr>
            <w:tcW w:w="898" w:type="dxa"/>
            <w:shd w:val="clear" w:color="auto" w:fill="auto"/>
          </w:tcPr>
          <w:p w14:paraId="5714CE9C" w14:textId="41D5FBF1" w:rsidR="00552C46" w:rsidRPr="00285C24" w:rsidRDefault="00552C46" w:rsidP="005136FD">
            <w:pPr>
              <w:widowControl w:val="0"/>
              <w:jc w:val="center"/>
              <w:rPr>
                <w:rFonts w:cs="Calibri"/>
                <w:sz w:val="16"/>
                <w:szCs w:val="16"/>
              </w:rPr>
            </w:pPr>
            <w:r w:rsidRPr="001823ED">
              <w:rPr>
                <w:rFonts w:cs="Calibri"/>
                <w:sz w:val="20"/>
                <w:szCs w:val="20"/>
              </w:rPr>
              <w:sym w:font="Symbol" w:char="F0DB"/>
            </w:r>
          </w:p>
        </w:tc>
        <w:tc>
          <w:tcPr>
            <w:tcW w:w="898" w:type="dxa"/>
            <w:shd w:val="clear" w:color="auto" w:fill="auto"/>
          </w:tcPr>
          <w:p w14:paraId="497E9327" w14:textId="3E91341D" w:rsidR="00552C46" w:rsidRPr="001823ED" w:rsidRDefault="00552C46" w:rsidP="005136FD">
            <w:pPr>
              <w:widowControl w:val="0"/>
              <w:jc w:val="center"/>
              <w:rPr>
                <w:rFonts w:cs="Calibri"/>
                <w:sz w:val="20"/>
                <w:szCs w:val="20"/>
              </w:rPr>
            </w:pPr>
            <w:r w:rsidRPr="00285C24">
              <w:rPr>
                <w:rFonts w:cs="Calibri"/>
                <w:sz w:val="16"/>
                <w:szCs w:val="16"/>
              </w:rPr>
              <w:t xml:space="preserve">CST IV </w:t>
            </w:r>
            <w:r w:rsidRPr="00285C24">
              <w:rPr>
                <w:rFonts w:cs="Arial"/>
                <w:b/>
                <w:bCs/>
                <w:sz w:val="16"/>
                <w:szCs w:val="16"/>
                <w:shd w:val="clear" w:color="auto" w:fill="FFFFFF"/>
              </w:rPr>
              <w:t>↑</w:t>
            </w:r>
          </w:p>
        </w:tc>
        <w:tc>
          <w:tcPr>
            <w:tcW w:w="897" w:type="dxa"/>
            <w:shd w:val="clear" w:color="auto" w:fill="auto"/>
          </w:tcPr>
          <w:p w14:paraId="5FD41DBF" w14:textId="77777777" w:rsidR="00552C46" w:rsidRDefault="00552C46" w:rsidP="005136FD">
            <w:pPr>
              <w:widowControl w:val="0"/>
              <w:ind w:right="-155" w:hanging="152"/>
              <w:jc w:val="center"/>
              <w:rPr>
                <w:rFonts w:cs="Calibri"/>
                <w:sz w:val="16"/>
                <w:szCs w:val="16"/>
              </w:rPr>
            </w:pPr>
            <w:r w:rsidRPr="00285C24">
              <w:rPr>
                <w:rFonts w:cs="Calibri"/>
                <w:sz w:val="16"/>
                <w:szCs w:val="16"/>
              </w:rPr>
              <w:t>CST</w:t>
            </w:r>
            <w:r>
              <w:rPr>
                <w:rFonts w:cs="Calibri"/>
                <w:sz w:val="16"/>
                <w:szCs w:val="16"/>
              </w:rPr>
              <w:t xml:space="preserve"> </w:t>
            </w:r>
            <w:r w:rsidRPr="00285C24">
              <w:rPr>
                <w:rFonts w:cs="Calibri"/>
                <w:sz w:val="16"/>
                <w:szCs w:val="16"/>
              </w:rPr>
              <w:t>I ↓</w:t>
            </w:r>
            <w:r>
              <w:rPr>
                <w:rFonts w:cs="Calibri"/>
                <w:sz w:val="16"/>
                <w:szCs w:val="16"/>
              </w:rPr>
              <w:t>,</w:t>
            </w:r>
          </w:p>
          <w:p w14:paraId="17E01A0F" w14:textId="67861D0C" w:rsidR="00552C46" w:rsidRPr="00285C24" w:rsidRDefault="00552C46" w:rsidP="005136FD">
            <w:pPr>
              <w:widowControl w:val="0"/>
              <w:ind w:right="-155" w:hanging="152"/>
              <w:jc w:val="center"/>
              <w:rPr>
                <w:rFonts w:cs="Calibri"/>
                <w:sz w:val="16"/>
                <w:szCs w:val="16"/>
              </w:rPr>
            </w:pPr>
            <w:r w:rsidRPr="00285C24">
              <w:rPr>
                <w:rFonts w:cs="Calibri"/>
                <w:sz w:val="16"/>
                <w:szCs w:val="16"/>
              </w:rPr>
              <w:t>IV</w:t>
            </w:r>
            <w:r>
              <w:rPr>
                <w:rFonts w:cs="Calibri"/>
                <w:sz w:val="16"/>
                <w:szCs w:val="16"/>
              </w:rPr>
              <w:t>&amp;V</w:t>
            </w:r>
            <w:r w:rsidRPr="00285C24">
              <w:rPr>
                <w:rFonts w:cs="Calibri"/>
                <w:sz w:val="16"/>
                <w:szCs w:val="16"/>
              </w:rPr>
              <w:t xml:space="preserve"> </w:t>
            </w:r>
            <w:r w:rsidRPr="00285C24">
              <w:rPr>
                <w:rFonts w:cs="Arial"/>
                <w:b/>
                <w:bCs/>
                <w:sz w:val="16"/>
                <w:szCs w:val="16"/>
                <w:shd w:val="clear" w:color="auto" w:fill="FFFFFF"/>
              </w:rPr>
              <w:t>↑</w:t>
            </w:r>
          </w:p>
        </w:tc>
        <w:tc>
          <w:tcPr>
            <w:tcW w:w="898" w:type="dxa"/>
            <w:shd w:val="clear" w:color="auto" w:fill="auto"/>
          </w:tcPr>
          <w:p w14:paraId="0B547197" w14:textId="0323C3FC" w:rsidR="00552C46" w:rsidRPr="001823ED" w:rsidRDefault="00552C46" w:rsidP="005136FD">
            <w:pPr>
              <w:widowControl w:val="0"/>
              <w:rPr>
                <w:rFonts w:cs="Calibri"/>
                <w:sz w:val="20"/>
                <w:szCs w:val="20"/>
              </w:rPr>
            </w:pPr>
            <w:r w:rsidRPr="00285C24">
              <w:rPr>
                <w:rFonts w:cs="Calibri"/>
                <w:sz w:val="16"/>
                <w:szCs w:val="16"/>
              </w:rPr>
              <w:t xml:space="preserve">CST IV </w:t>
            </w:r>
            <w:r w:rsidRPr="00285C24">
              <w:rPr>
                <w:rFonts w:cs="Arial"/>
                <w:b/>
                <w:bCs/>
                <w:sz w:val="16"/>
                <w:szCs w:val="16"/>
                <w:shd w:val="clear" w:color="auto" w:fill="FFFFFF"/>
              </w:rPr>
              <w:t>↑</w:t>
            </w:r>
          </w:p>
        </w:tc>
        <w:tc>
          <w:tcPr>
            <w:tcW w:w="898" w:type="dxa"/>
            <w:shd w:val="clear" w:color="auto" w:fill="D9D9D9" w:themeFill="background1" w:themeFillShade="D9"/>
          </w:tcPr>
          <w:p w14:paraId="419673EA"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43E9AB7A" w14:textId="57291451" w:rsidR="00552C46" w:rsidRPr="001823ED" w:rsidRDefault="00552C46" w:rsidP="005136FD">
            <w:pPr>
              <w:widowControl w:val="0"/>
              <w:jc w:val="center"/>
              <w:rPr>
                <w:rFonts w:cs="Calibri"/>
                <w:sz w:val="20"/>
                <w:szCs w:val="20"/>
              </w:rPr>
            </w:pPr>
            <w:r w:rsidRPr="00285C24">
              <w:rPr>
                <w:rFonts w:cs="Calibri"/>
                <w:sz w:val="16"/>
                <w:szCs w:val="16"/>
              </w:rPr>
              <w:t>CST</w:t>
            </w:r>
            <w:r>
              <w:rPr>
                <w:rFonts w:cs="Calibri"/>
                <w:sz w:val="16"/>
                <w:szCs w:val="16"/>
              </w:rPr>
              <w:t xml:space="preserve"> </w:t>
            </w:r>
            <w:r w:rsidRPr="00285C24">
              <w:rPr>
                <w:rFonts w:cs="Calibri"/>
                <w:sz w:val="16"/>
                <w:szCs w:val="16"/>
              </w:rPr>
              <w:t>I</w:t>
            </w:r>
            <w:r>
              <w:rPr>
                <w:rFonts w:cs="Calibri"/>
                <w:sz w:val="16"/>
                <w:szCs w:val="16"/>
              </w:rPr>
              <w:t xml:space="preserve">-II </w:t>
            </w:r>
            <w:r w:rsidRPr="00285C24">
              <w:rPr>
                <w:rFonts w:cs="Calibri"/>
                <w:sz w:val="16"/>
                <w:szCs w:val="16"/>
              </w:rPr>
              <w:t>↓</w:t>
            </w:r>
            <w:r>
              <w:rPr>
                <w:rFonts w:cs="Calibri"/>
                <w:sz w:val="16"/>
                <w:szCs w:val="16"/>
              </w:rPr>
              <w:t xml:space="preserve">, </w:t>
            </w:r>
            <w:r w:rsidRPr="00285C24">
              <w:rPr>
                <w:rFonts w:cs="Calibri"/>
                <w:sz w:val="16"/>
                <w:szCs w:val="16"/>
              </w:rPr>
              <w:t xml:space="preserve">IV </w:t>
            </w:r>
            <w:r w:rsidRPr="00285C24">
              <w:rPr>
                <w:rFonts w:cs="Arial"/>
                <w:b/>
                <w:bCs/>
                <w:sz w:val="16"/>
                <w:szCs w:val="16"/>
                <w:shd w:val="clear" w:color="auto" w:fill="FFFFFF"/>
              </w:rPr>
              <w:t>↑</w:t>
            </w:r>
          </w:p>
        </w:tc>
        <w:tc>
          <w:tcPr>
            <w:tcW w:w="897" w:type="dxa"/>
            <w:shd w:val="clear" w:color="auto" w:fill="auto"/>
          </w:tcPr>
          <w:p w14:paraId="76644E7E" w14:textId="58C6A6DE" w:rsidR="00552C46" w:rsidRPr="00285C24" w:rsidRDefault="00552C46" w:rsidP="005136FD">
            <w:pPr>
              <w:widowControl w:val="0"/>
              <w:jc w:val="center"/>
              <w:rPr>
                <w:rFonts w:cs="Calibri"/>
                <w:sz w:val="16"/>
                <w:szCs w:val="16"/>
              </w:rPr>
            </w:pPr>
            <w:r w:rsidRPr="00285C24">
              <w:rPr>
                <w:rFonts w:cs="Calibri"/>
                <w:sz w:val="16"/>
                <w:szCs w:val="16"/>
              </w:rPr>
              <w:t>CST</w:t>
            </w:r>
            <w:r>
              <w:rPr>
                <w:rFonts w:cs="Calibri"/>
                <w:sz w:val="16"/>
                <w:szCs w:val="16"/>
              </w:rPr>
              <w:t xml:space="preserve"> III&amp;</w:t>
            </w:r>
            <w:r w:rsidRPr="00285C24">
              <w:rPr>
                <w:rFonts w:cs="Calibri"/>
                <w:sz w:val="16"/>
                <w:szCs w:val="16"/>
              </w:rPr>
              <w:t xml:space="preserve">IV </w:t>
            </w:r>
            <w:r w:rsidRPr="00285C24">
              <w:rPr>
                <w:rFonts w:cs="Arial"/>
                <w:b/>
                <w:bCs/>
                <w:sz w:val="16"/>
                <w:szCs w:val="16"/>
                <w:shd w:val="clear" w:color="auto" w:fill="FFFFFF"/>
              </w:rPr>
              <w:t>↑</w:t>
            </w:r>
          </w:p>
        </w:tc>
      </w:tr>
      <w:tr w:rsidR="00552C46" w:rsidRPr="001823ED" w14:paraId="2894D050" w14:textId="77777777" w:rsidTr="0086354C">
        <w:trPr>
          <w:trHeight w:val="194"/>
        </w:trPr>
        <w:tc>
          <w:tcPr>
            <w:tcW w:w="846" w:type="dxa"/>
            <w:vMerge/>
            <w:shd w:val="clear" w:color="auto" w:fill="auto"/>
          </w:tcPr>
          <w:p w14:paraId="23B6B586" w14:textId="77777777" w:rsidR="00552C46" w:rsidRPr="001823ED" w:rsidRDefault="00552C46" w:rsidP="005136FD">
            <w:pPr>
              <w:widowControl w:val="0"/>
              <w:ind w:firstLine="360"/>
              <w:rPr>
                <w:rFonts w:cs="Calibri"/>
                <w:sz w:val="20"/>
                <w:szCs w:val="20"/>
              </w:rPr>
            </w:pPr>
          </w:p>
        </w:tc>
        <w:tc>
          <w:tcPr>
            <w:tcW w:w="3402" w:type="dxa"/>
            <w:shd w:val="clear" w:color="auto" w:fill="auto"/>
          </w:tcPr>
          <w:p w14:paraId="335E9A04" w14:textId="77777777" w:rsidR="00552C46" w:rsidRPr="001823ED" w:rsidRDefault="00552C46" w:rsidP="005136FD">
            <w:pPr>
              <w:widowControl w:val="0"/>
              <w:rPr>
                <w:rFonts w:cs="Calibri"/>
                <w:iCs/>
                <w:sz w:val="20"/>
                <w:szCs w:val="20"/>
              </w:rPr>
            </w:pPr>
            <w:r w:rsidRPr="001823ED">
              <w:rPr>
                <w:rFonts w:cs="Calibri"/>
                <w:i/>
                <w:iCs/>
                <w:sz w:val="20"/>
                <w:szCs w:val="20"/>
              </w:rPr>
              <w:t xml:space="preserve">Lactobacillus </w:t>
            </w:r>
            <w:r w:rsidRPr="001823ED">
              <w:rPr>
                <w:rFonts w:cs="Calibri"/>
                <w:iCs/>
                <w:sz w:val="20"/>
                <w:szCs w:val="20"/>
              </w:rPr>
              <w:t>relative abundance group</w:t>
            </w:r>
          </w:p>
        </w:tc>
        <w:tc>
          <w:tcPr>
            <w:tcW w:w="898" w:type="dxa"/>
            <w:shd w:val="clear" w:color="auto" w:fill="auto"/>
          </w:tcPr>
          <w:p w14:paraId="7F0BD6AD" w14:textId="492F28B6"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660EAA73"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5BADFCDB" w14:textId="466E5D4E"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3CCA39CC" w14:textId="47F87AFA" w:rsidR="00552C46" w:rsidRPr="00285C24" w:rsidRDefault="00552C46" w:rsidP="005136FD">
            <w:pPr>
              <w:widowControl w:val="0"/>
              <w:ind w:right="-108" w:hanging="58"/>
              <w:jc w:val="center"/>
              <w:rPr>
                <w:rFonts w:cs="Calibri"/>
                <w:i/>
                <w:iCs/>
                <w:sz w:val="16"/>
                <w:szCs w:val="16"/>
              </w:rPr>
            </w:pPr>
          </w:p>
        </w:tc>
        <w:tc>
          <w:tcPr>
            <w:tcW w:w="898" w:type="dxa"/>
            <w:shd w:val="clear" w:color="auto" w:fill="D9D9D9" w:themeFill="background1" w:themeFillShade="D9"/>
          </w:tcPr>
          <w:p w14:paraId="35181197"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77679675"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5C040714" w14:textId="77777777" w:rsidR="00552C46" w:rsidRPr="001823ED" w:rsidRDefault="00552C46" w:rsidP="005136FD">
            <w:pPr>
              <w:widowControl w:val="0"/>
              <w:ind w:firstLine="360"/>
              <w:jc w:val="center"/>
              <w:rPr>
                <w:rFonts w:cs="Calibri"/>
                <w:sz w:val="20"/>
                <w:szCs w:val="20"/>
              </w:rPr>
            </w:pPr>
          </w:p>
        </w:tc>
      </w:tr>
      <w:tr w:rsidR="00552C46" w:rsidRPr="001823ED" w14:paraId="6AE76740" w14:textId="77777777" w:rsidTr="0086354C">
        <w:trPr>
          <w:trHeight w:val="243"/>
        </w:trPr>
        <w:tc>
          <w:tcPr>
            <w:tcW w:w="846" w:type="dxa"/>
            <w:vMerge/>
            <w:shd w:val="clear" w:color="auto" w:fill="auto"/>
          </w:tcPr>
          <w:p w14:paraId="7008651A" w14:textId="77777777" w:rsidR="00552C46" w:rsidRPr="001823ED" w:rsidRDefault="00552C46" w:rsidP="005136FD">
            <w:pPr>
              <w:widowControl w:val="0"/>
              <w:ind w:firstLine="360"/>
              <w:rPr>
                <w:rFonts w:cs="Calibri"/>
                <w:sz w:val="20"/>
                <w:szCs w:val="20"/>
              </w:rPr>
            </w:pPr>
          </w:p>
        </w:tc>
        <w:tc>
          <w:tcPr>
            <w:tcW w:w="3402" w:type="dxa"/>
            <w:shd w:val="clear" w:color="auto" w:fill="auto"/>
          </w:tcPr>
          <w:p w14:paraId="0D1B80B2" w14:textId="77777777" w:rsidR="00552C46" w:rsidRPr="001823ED" w:rsidRDefault="00552C46" w:rsidP="005136FD">
            <w:pPr>
              <w:widowControl w:val="0"/>
              <w:rPr>
                <w:rFonts w:cs="Calibri"/>
                <w:sz w:val="20"/>
                <w:szCs w:val="20"/>
              </w:rPr>
            </w:pPr>
            <w:r w:rsidRPr="001823ED">
              <w:rPr>
                <w:rFonts w:cs="Calibri"/>
                <w:sz w:val="20"/>
                <w:szCs w:val="20"/>
              </w:rPr>
              <w:t>Instability</w:t>
            </w:r>
          </w:p>
        </w:tc>
        <w:tc>
          <w:tcPr>
            <w:tcW w:w="898" w:type="dxa"/>
            <w:shd w:val="clear" w:color="auto" w:fill="D9D9D9" w:themeFill="background1" w:themeFillShade="D9"/>
          </w:tcPr>
          <w:p w14:paraId="6BFEF0FC"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15BEF755"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5A23237C"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11154150" w14:textId="2292A4C2"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777757CD" w14:textId="0030D73A" w:rsidR="00552C46" w:rsidRPr="001823ED" w:rsidRDefault="00552C46" w:rsidP="005136FD">
            <w:pPr>
              <w:widowControl w:val="0"/>
              <w:jc w:val="center"/>
              <w:rPr>
                <w:rFonts w:cs="Calibri"/>
                <w:sz w:val="20"/>
                <w:szCs w:val="20"/>
              </w:rPr>
            </w:pPr>
          </w:p>
        </w:tc>
        <w:tc>
          <w:tcPr>
            <w:tcW w:w="898" w:type="dxa"/>
            <w:shd w:val="clear" w:color="auto" w:fill="auto"/>
          </w:tcPr>
          <w:p w14:paraId="38704716" w14:textId="77777777" w:rsidR="00552C46" w:rsidRPr="001823ED" w:rsidRDefault="00552C46" w:rsidP="005136FD">
            <w:pPr>
              <w:widowControl w:val="0"/>
              <w:ind w:firstLine="360"/>
              <w:jc w:val="center"/>
              <w:rPr>
                <w:rFonts w:cs="Calibri"/>
                <w:sz w:val="20"/>
                <w:szCs w:val="20"/>
              </w:rPr>
            </w:pPr>
          </w:p>
        </w:tc>
        <w:tc>
          <w:tcPr>
            <w:tcW w:w="897" w:type="dxa"/>
            <w:shd w:val="clear" w:color="auto" w:fill="auto"/>
          </w:tcPr>
          <w:p w14:paraId="4663FB52" w14:textId="5DC4FF0F"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0584A009" w14:textId="77777777" w:rsidTr="0086354C">
        <w:trPr>
          <w:trHeight w:val="263"/>
        </w:trPr>
        <w:tc>
          <w:tcPr>
            <w:tcW w:w="846" w:type="dxa"/>
            <w:vMerge/>
            <w:shd w:val="clear" w:color="auto" w:fill="auto"/>
          </w:tcPr>
          <w:p w14:paraId="4A70ED19" w14:textId="77777777" w:rsidR="00552C46" w:rsidRPr="001823ED" w:rsidRDefault="00552C46" w:rsidP="005136FD">
            <w:pPr>
              <w:widowControl w:val="0"/>
              <w:ind w:firstLine="360"/>
              <w:rPr>
                <w:rFonts w:cs="Calibri"/>
                <w:sz w:val="20"/>
                <w:szCs w:val="20"/>
              </w:rPr>
            </w:pPr>
          </w:p>
        </w:tc>
        <w:tc>
          <w:tcPr>
            <w:tcW w:w="3402" w:type="dxa"/>
            <w:shd w:val="clear" w:color="auto" w:fill="auto"/>
          </w:tcPr>
          <w:p w14:paraId="6944B2D1" w14:textId="77777777" w:rsidR="00552C46" w:rsidRPr="001823ED" w:rsidRDefault="00552C46" w:rsidP="005136FD">
            <w:pPr>
              <w:widowControl w:val="0"/>
              <w:rPr>
                <w:rFonts w:cs="Calibri"/>
                <w:sz w:val="20"/>
                <w:szCs w:val="20"/>
              </w:rPr>
            </w:pPr>
            <w:r w:rsidRPr="001823ED">
              <w:rPr>
                <w:rFonts w:cs="Calibri"/>
                <w:sz w:val="20"/>
                <w:szCs w:val="20"/>
              </w:rPr>
              <w:t>Total bacterial load</w:t>
            </w:r>
          </w:p>
        </w:tc>
        <w:tc>
          <w:tcPr>
            <w:tcW w:w="898" w:type="dxa"/>
            <w:shd w:val="clear" w:color="auto" w:fill="D9D9D9" w:themeFill="background1" w:themeFillShade="D9"/>
          </w:tcPr>
          <w:p w14:paraId="3A8071DC"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8099CCC"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03D11F72"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08B00A05"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647D1EBB"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2F10DFA0" w14:textId="7E9AC007"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355FC1FC" w14:textId="77777777" w:rsidR="00552C46" w:rsidRPr="001823ED" w:rsidRDefault="00552C46" w:rsidP="005136FD">
            <w:pPr>
              <w:widowControl w:val="0"/>
              <w:ind w:firstLine="360"/>
              <w:jc w:val="center"/>
              <w:rPr>
                <w:rFonts w:cs="Calibri"/>
                <w:sz w:val="20"/>
                <w:szCs w:val="20"/>
              </w:rPr>
            </w:pPr>
          </w:p>
        </w:tc>
      </w:tr>
      <w:tr w:rsidR="00552C46" w:rsidRPr="001823ED" w14:paraId="31294D8E" w14:textId="77777777" w:rsidTr="0086354C">
        <w:trPr>
          <w:trHeight w:val="20"/>
        </w:trPr>
        <w:tc>
          <w:tcPr>
            <w:tcW w:w="846" w:type="dxa"/>
            <w:vMerge w:val="restart"/>
            <w:shd w:val="clear" w:color="auto" w:fill="auto"/>
            <w:textDirection w:val="btLr"/>
          </w:tcPr>
          <w:p w14:paraId="4BFC2DDE" w14:textId="77777777" w:rsidR="00552C46" w:rsidRPr="001823ED" w:rsidRDefault="00552C46" w:rsidP="005136FD">
            <w:pPr>
              <w:widowControl w:val="0"/>
              <w:ind w:left="113" w:right="113"/>
              <w:jc w:val="center"/>
              <w:rPr>
                <w:rFonts w:cs="Calibri"/>
                <w:sz w:val="20"/>
                <w:szCs w:val="20"/>
              </w:rPr>
            </w:pPr>
            <w:r w:rsidRPr="001823ED">
              <w:rPr>
                <w:rFonts w:cs="Calibri"/>
                <w:sz w:val="20"/>
                <w:szCs w:val="20"/>
              </w:rPr>
              <w:t>Relative abundance of specific taxa of interest</w:t>
            </w:r>
          </w:p>
        </w:tc>
        <w:tc>
          <w:tcPr>
            <w:tcW w:w="3402" w:type="dxa"/>
            <w:shd w:val="clear" w:color="auto" w:fill="auto"/>
          </w:tcPr>
          <w:p w14:paraId="24788B1F"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 xml:space="preserve">Lactobacillus </w:t>
            </w:r>
            <w:r w:rsidRPr="001823ED">
              <w:rPr>
                <w:rFonts w:cs="Calibri"/>
                <w:sz w:val="20"/>
                <w:szCs w:val="20"/>
              </w:rPr>
              <w:t>species</w:t>
            </w:r>
          </w:p>
        </w:tc>
        <w:tc>
          <w:tcPr>
            <w:tcW w:w="898" w:type="dxa"/>
            <w:shd w:val="clear" w:color="auto" w:fill="auto"/>
          </w:tcPr>
          <w:p w14:paraId="5BF5065F" w14:textId="3900C7D5"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auto"/>
          </w:tcPr>
          <w:p w14:paraId="0D7D916E" w14:textId="545F79B5"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7" w:type="dxa"/>
            <w:shd w:val="clear" w:color="auto" w:fill="auto"/>
          </w:tcPr>
          <w:p w14:paraId="2540D937" w14:textId="4E95009F"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auto"/>
          </w:tcPr>
          <w:p w14:paraId="43D9EBEC" w14:textId="382877FD"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D9D9D9" w:themeFill="background1" w:themeFillShade="D9"/>
          </w:tcPr>
          <w:p w14:paraId="1A3C8784" w14:textId="6CBD744E"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1F279112" w14:textId="11C5BFA3"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4BF52945" w14:textId="77777777" w:rsidR="00552C46" w:rsidRPr="001823ED" w:rsidRDefault="00552C46" w:rsidP="005136FD">
            <w:pPr>
              <w:widowControl w:val="0"/>
              <w:ind w:firstLine="360"/>
              <w:jc w:val="center"/>
              <w:rPr>
                <w:rFonts w:cs="Calibri"/>
                <w:sz w:val="20"/>
                <w:szCs w:val="20"/>
              </w:rPr>
            </w:pPr>
          </w:p>
        </w:tc>
      </w:tr>
      <w:tr w:rsidR="00552C46" w:rsidRPr="001823ED" w14:paraId="0835629C" w14:textId="77777777" w:rsidTr="0086354C">
        <w:trPr>
          <w:trHeight w:val="20"/>
        </w:trPr>
        <w:tc>
          <w:tcPr>
            <w:tcW w:w="846" w:type="dxa"/>
            <w:vMerge/>
            <w:shd w:val="clear" w:color="auto" w:fill="auto"/>
            <w:textDirection w:val="btLr"/>
          </w:tcPr>
          <w:p w14:paraId="18911EEC" w14:textId="77777777" w:rsidR="00552C46" w:rsidRPr="001823ED" w:rsidRDefault="00552C46" w:rsidP="005136FD">
            <w:pPr>
              <w:widowControl w:val="0"/>
              <w:ind w:left="113" w:right="113" w:firstLine="360"/>
              <w:rPr>
                <w:rFonts w:cs="Calibri"/>
                <w:sz w:val="20"/>
                <w:szCs w:val="20"/>
              </w:rPr>
            </w:pPr>
          </w:p>
        </w:tc>
        <w:tc>
          <w:tcPr>
            <w:tcW w:w="3402" w:type="dxa"/>
            <w:shd w:val="clear" w:color="auto" w:fill="auto"/>
          </w:tcPr>
          <w:p w14:paraId="125C1183"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crispatus</w:t>
            </w:r>
            <w:proofErr w:type="spellEnd"/>
          </w:p>
        </w:tc>
        <w:tc>
          <w:tcPr>
            <w:tcW w:w="898" w:type="dxa"/>
            <w:shd w:val="clear" w:color="auto" w:fill="D9D9D9" w:themeFill="background1" w:themeFillShade="D9"/>
          </w:tcPr>
          <w:p w14:paraId="5761B3E5"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4627264D" w14:textId="38DC9EEB"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7" w:type="dxa"/>
            <w:shd w:val="clear" w:color="auto" w:fill="auto"/>
          </w:tcPr>
          <w:p w14:paraId="66F53628" w14:textId="49E6A9E5"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E7E6E6" w:themeFill="background2"/>
          </w:tcPr>
          <w:p w14:paraId="682B82BB" w14:textId="2BEA64AA" w:rsidR="00552C46" w:rsidRPr="001823ED" w:rsidRDefault="00552C46" w:rsidP="005136FD">
            <w:pPr>
              <w:widowControl w:val="0"/>
              <w:jc w:val="center"/>
              <w:rPr>
                <w:rFonts w:cs="Calibri"/>
                <w:sz w:val="20"/>
                <w:szCs w:val="20"/>
              </w:rPr>
            </w:pPr>
          </w:p>
        </w:tc>
        <w:tc>
          <w:tcPr>
            <w:tcW w:w="898" w:type="dxa"/>
            <w:shd w:val="clear" w:color="auto" w:fill="auto"/>
          </w:tcPr>
          <w:p w14:paraId="684336D8" w14:textId="3BB5D357"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auto"/>
          </w:tcPr>
          <w:p w14:paraId="759BE06C" w14:textId="2CBA501F"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7" w:type="dxa"/>
            <w:shd w:val="clear" w:color="auto" w:fill="auto"/>
          </w:tcPr>
          <w:p w14:paraId="77FD74E9" w14:textId="62B606BB"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r>
      <w:tr w:rsidR="00552C46" w:rsidRPr="001823ED" w14:paraId="1C1E31CF" w14:textId="77777777" w:rsidTr="0086354C">
        <w:trPr>
          <w:trHeight w:val="20"/>
        </w:trPr>
        <w:tc>
          <w:tcPr>
            <w:tcW w:w="846" w:type="dxa"/>
            <w:vMerge/>
            <w:shd w:val="clear" w:color="auto" w:fill="auto"/>
          </w:tcPr>
          <w:p w14:paraId="0314A263"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49A66DC8"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iners</w:t>
            </w:r>
            <w:proofErr w:type="spellEnd"/>
          </w:p>
        </w:tc>
        <w:tc>
          <w:tcPr>
            <w:tcW w:w="898" w:type="dxa"/>
            <w:shd w:val="clear" w:color="auto" w:fill="D9D9D9" w:themeFill="background1" w:themeFillShade="D9"/>
          </w:tcPr>
          <w:p w14:paraId="59273983"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42F30A4F" w14:textId="02C9818E"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7" w:type="dxa"/>
            <w:shd w:val="clear" w:color="auto" w:fill="auto"/>
          </w:tcPr>
          <w:p w14:paraId="00DF3FF6" w14:textId="295865DB"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0FA569E1" w14:textId="6BC236A7" w:rsidR="00552C46" w:rsidRPr="001823ED" w:rsidRDefault="00552C46" w:rsidP="005136FD">
            <w:pPr>
              <w:widowControl w:val="0"/>
              <w:jc w:val="center"/>
              <w:rPr>
                <w:rFonts w:cs="Calibri"/>
                <w:sz w:val="20"/>
                <w:szCs w:val="20"/>
              </w:rPr>
            </w:pPr>
          </w:p>
        </w:tc>
        <w:tc>
          <w:tcPr>
            <w:tcW w:w="898" w:type="dxa"/>
            <w:shd w:val="clear" w:color="auto" w:fill="auto"/>
          </w:tcPr>
          <w:p w14:paraId="57DBA857" w14:textId="26FA93C2"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20D60183" w14:textId="4B9B228E"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4D04CFF6" w14:textId="29D5939F"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56D8677C" w14:textId="77777777" w:rsidTr="0086354C">
        <w:trPr>
          <w:trHeight w:val="20"/>
        </w:trPr>
        <w:tc>
          <w:tcPr>
            <w:tcW w:w="846" w:type="dxa"/>
            <w:vMerge/>
            <w:shd w:val="clear" w:color="auto" w:fill="auto"/>
          </w:tcPr>
          <w:p w14:paraId="4D69926A"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6622B988"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jensenii</w:t>
            </w:r>
            <w:proofErr w:type="spellEnd"/>
          </w:p>
        </w:tc>
        <w:tc>
          <w:tcPr>
            <w:tcW w:w="898" w:type="dxa"/>
            <w:shd w:val="clear" w:color="auto" w:fill="D9D9D9" w:themeFill="background1" w:themeFillShade="D9"/>
          </w:tcPr>
          <w:p w14:paraId="43F04273"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62B63042" w14:textId="1AE13651"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7" w:type="dxa"/>
            <w:shd w:val="clear" w:color="auto" w:fill="D9D9D9" w:themeFill="background1" w:themeFillShade="D9"/>
          </w:tcPr>
          <w:p w14:paraId="02664067" w14:textId="63ABBBBD"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27C15C87" w14:textId="14B787F3" w:rsidR="00552C46" w:rsidRPr="001823ED" w:rsidRDefault="00552C46" w:rsidP="005136FD">
            <w:pPr>
              <w:widowControl w:val="0"/>
              <w:jc w:val="center"/>
              <w:rPr>
                <w:rFonts w:cs="Calibri"/>
                <w:sz w:val="20"/>
                <w:szCs w:val="20"/>
              </w:rPr>
            </w:pPr>
          </w:p>
        </w:tc>
        <w:tc>
          <w:tcPr>
            <w:tcW w:w="898" w:type="dxa"/>
            <w:shd w:val="clear" w:color="auto" w:fill="auto"/>
          </w:tcPr>
          <w:p w14:paraId="400767DC" w14:textId="557677F5"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auto"/>
          </w:tcPr>
          <w:p w14:paraId="772831F8" w14:textId="198982FF"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5C11E922" w14:textId="59E9D7BC"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0EF07201" w14:textId="77777777" w:rsidTr="0086354C">
        <w:trPr>
          <w:trHeight w:val="20"/>
        </w:trPr>
        <w:tc>
          <w:tcPr>
            <w:tcW w:w="846" w:type="dxa"/>
            <w:vMerge/>
            <w:shd w:val="clear" w:color="auto" w:fill="auto"/>
          </w:tcPr>
          <w:p w14:paraId="4706DFBB"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6DC1E10C"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 xml:space="preserve">Lactobacillus </w:t>
            </w:r>
            <w:proofErr w:type="spellStart"/>
            <w:r w:rsidRPr="001823ED">
              <w:rPr>
                <w:rFonts w:cs="Calibri"/>
                <w:i/>
                <w:iCs/>
                <w:sz w:val="20"/>
                <w:szCs w:val="20"/>
              </w:rPr>
              <w:t>gasseri</w:t>
            </w:r>
            <w:proofErr w:type="spellEnd"/>
          </w:p>
        </w:tc>
        <w:tc>
          <w:tcPr>
            <w:tcW w:w="898" w:type="dxa"/>
            <w:shd w:val="clear" w:color="auto" w:fill="D9D9D9" w:themeFill="background1" w:themeFillShade="D9"/>
          </w:tcPr>
          <w:p w14:paraId="4EE244ED"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F6F2CC0" w14:textId="3DEC725E"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47149BAA" w14:textId="31108F5C"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D9D9D9" w:themeFill="background1" w:themeFillShade="D9"/>
          </w:tcPr>
          <w:p w14:paraId="7CA4A165" w14:textId="191B3CF2" w:rsidR="00552C46" w:rsidRPr="001823ED" w:rsidRDefault="00552C46" w:rsidP="005136FD">
            <w:pPr>
              <w:widowControl w:val="0"/>
              <w:jc w:val="center"/>
              <w:rPr>
                <w:rFonts w:cs="Calibri"/>
                <w:sz w:val="20"/>
                <w:szCs w:val="20"/>
              </w:rPr>
            </w:pPr>
          </w:p>
        </w:tc>
        <w:tc>
          <w:tcPr>
            <w:tcW w:w="898" w:type="dxa"/>
            <w:shd w:val="clear" w:color="auto" w:fill="auto"/>
          </w:tcPr>
          <w:p w14:paraId="52D09B53" w14:textId="497981D4"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auto"/>
          </w:tcPr>
          <w:p w14:paraId="27E38DE7" w14:textId="4B732935"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5FC7AD15" w14:textId="7B06209C"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07AE7D5F" w14:textId="77777777" w:rsidTr="0086354C">
        <w:trPr>
          <w:trHeight w:val="20"/>
        </w:trPr>
        <w:tc>
          <w:tcPr>
            <w:tcW w:w="846" w:type="dxa"/>
            <w:vMerge/>
            <w:shd w:val="clear" w:color="auto" w:fill="auto"/>
          </w:tcPr>
          <w:p w14:paraId="39524231"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23C223A0" w14:textId="77777777" w:rsidR="00552C46" w:rsidRPr="001823ED" w:rsidRDefault="00552C46" w:rsidP="005136FD">
            <w:pPr>
              <w:widowControl w:val="0"/>
              <w:ind w:firstLine="360"/>
              <w:jc w:val="right"/>
              <w:rPr>
                <w:rFonts w:cs="Calibri"/>
                <w:i/>
                <w:iCs/>
                <w:sz w:val="20"/>
                <w:szCs w:val="20"/>
              </w:rPr>
            </w:pPr>
            <w:proofErr w:type="spellStart"/>
            <w:r w:rsidRPr="001823ED">
              <w:rPr>
                <w:i/>
                <w:sz w:val="20"/>
                <w:szCs w:val="20"/>
              </w:rPr>
              <w:t>Aerococcus</w:t>
            </w:r>
            <w:proofErr w:type="spellEnd"/>
          </w:p>
        </w:tc>
        <w:tc>
          <w:tcPr>
            <w:tcW w:w="898" w:type="dxa"/>
            <w:shd w:val="clear" w:color="auto" w:fill="D9D9D9" w:themeFill="background1" w:themeFillShade="D9"/>
          </w:tcPr>
          <w:p w14:paraId="6F6EA256"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2AEE72E" w14:textId="6D218932"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1AE7B4B8" w14:textId="27FE13B0" w:rsidR="00552C46" w:rsidRPr="001823ED" w:rsidRDefault="00552C46" w:rsidP="005136FD">
            <w:pPr>
              <w:widowControl w:val="0"/>
              <w:jc w:val="center"/>
              <w:rPr>
                <w:rFonts w:cs="Calibri"/>
                <w:sz w:val="20"/>
                <w:szCs w:val="20"/>
              </w:rPr>
            </w:pPr>
          </w:p>
        </w:tc>
        <w:tc>
          <w:tcPr>
            <w:tcW w:w="898" w:type="dxa"/>
            <w:shd w:val="clear" w:color="auto" w:fill="auto"/>
          </w:tcPr>
          <w:p w14:paraId="460CBBA1" w14:textId="40D04D85"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themeFill="background1" w:themeFillShade="D9"/>
          </w:tcPr>
          <w:p w14:paraId="7186DF95" w14:textId="7CEECC93" w:rsidR="00552C46" w:rsidRPr="001823ED" w:rsidRDefault="00552C46" w:rsidP="005136FD">
            <w:pPr>
              <w:widowControl w:val="0"/>
              <w:jc w:val="center"/>
              <w:rPr>
                <w:rFonts w:cs="Calibri"/>
                <w:sz w:val="20"/>
                <w:szCs w:val="20"/>
              </w:rPr>
            </w:pPr>
          </w:p>
        </w:tc>
        <w:tc>
          <w:tcPr>
            <w:tcW w:w="898" w:type="dxa"/>
            <w:shd w:val="clear" w:color="auto" w:fill="auto"/>
          </w:tcPr>
          <w:p w14:paraId="5E3C5E00" w14:textId="7E355A4C"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4CEEFE0A" w14:textId="49216AE5"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75E1275C" w14:textId="77777777" w:rsidTr="0086354C">
        <w:trPr>
          <w:trHeight w:val="20"/>
        </w:trPr>
        <w:tc>
          <w:tcPr>
            <w:tcW w:w="846" w:type="dxa"/>
            <w:vMerge/>
            <w:shd w:val="clear" w:color="auto" w:fill="auto"/>
          </w:tcPr>
          <w:p w14:paraId="4C0C6D4B"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13C9B08A" w14:textId="77777777" w:rsidR="00552C46" w:rsidRPr="001823ED" w:rsidRDefault="00552C46" w:rsidP="005136FD">
            <w:pPr>
              <w:widowControl w:val="0"/>
              <w:ind w:firstLine="360"/>
              <w:jc w:val="right"/>
              <w:rPr>
                <w:i/>
                <w:sz w:val="20"/>
                <w:szCs w:val="20"/>
              </w:rPr>
            </w:pPr>
            <w:r w:rsidRPr="001823ED">
              <w:rPr>
                <w:i/>
                <w:sz w:val="20"/>
                <w:szCs w:val="20"/>
              </w:rPr>
              <w:t>Atopobium vaginae</w:t>
            </w:r>
          </w:p>
        </w:tc>
        <w:tc>
          <w:tcPr>
            <w:tcW w:w="898" w:type="dxa"/>
            <w:shd w:val="clear" w:color="auto" w:fill="D9D9D9" w:themeFill="background1" w:themeFillShade="D9"/>
          </w:tcPr>
          <w:p w14:paraId="2A40877E"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335AF6E0" w14:textId="426C39D0"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tcPr>
          <w:p w14:paraId="43BDB2D0" w14:textId="3D84A457"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5F819B52" w14:textId="0D883BBF" w:rsidR="00552C46" w:rsidRPr="001823ED" w:rsidRDefault="00552C46" w:rsidP="005136FD">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8" w:type="dxa"/>
            <w:shd w:val="clear" w:color="auto" w:fill="auto"/>
          </w:tcPr>
          <w:p w14:paraId="0A3076C1" w14:textId="45F12C43"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0048750D" w14:textId="5FD61CC7"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76BF2A44" w14:textId="2F119AE2"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6A4AE9E0" w14:textId="77777777" w:rsidTr="0086354C">
        <w:trPr>
          <w:trHeight w:val="20"/>
        </w:trPr>
        <w:tc>
          <w:tcPr>
            <w:tcW w:w="846" w:type="dxa"/>
            <w:vMerge/>
            <w:shd w:val="clear" w:color="auto" w:fill="auto"/>
          </w:tcPr>
          <w:p w14:paraId="59AFE184"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4B6B70C6" w14:textId="77777777" w:rsidR="00552C46" w:rsidRPr="001823ED" w:rsidRDefault="00552C46" w:rsidP="005136FD">
            <w:pPr>
              <w:widowControl w:val="0"/>
              <w:ind w:firstLine="360"/>
              <w:jc w:val="right"/>
              <w:rPr>
                <w:i/>
                <w:sz w:val="20"/>
                <w:szCs w:val="20"/>
              </w:rPr>
            </w:pPr>
            <w:r w:rsidRPr="001823ED">
              <w:rPr>
                <w:iCs/>
                <w:sz w:val="20"/>
                <w:szCs w:val="20"/>
              </w:rPr>
              <w:t>﻿</w:t>
            </w:r>
            <w:r w:rsidRPr="001823ED">
              <w:rPr>
                <w:i/>
                <w:sz w:val="20"/>
                <w:szCs w:val="20"/>
              </w:rPr>
              <w:t>Bifidobacterium ﻿breve</w:t>
            </w:r>
            <w:r w:rsidRPr="001823ED">
              <w:rPr>
                <w:iCs/>
                <w:sz w:val="20"/>
                <w:szCs w:val="20"/>
              </w:rPr>
              <w:t xml:space="preserve"> </w:t>
            </w:r>
          </w:p>
        </w:tc>
        <w:tc>
          <w:tcPr>
            <w:tcW w:w="898" w:type="dxa"/>
            <w:shd w:val="clear" w:color="auto" w:fill="D9D9D9" w:themeFill="background1" w:themeFillShade="D9"/>
          </w:tcPr>
          <w:p w14:paraId="64961F05"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63CD27DB" w14:textId="101B1330" w:rsidR="00552C46" w:rsidRPr="001823ED" w:rsidRDefault="00552C46" w:rsidP="005136FD">
            <w:pPr>
              <w:widowControl w:val="0"/>
              <w:jc w:val="center"/>
              <w:rPr>
                <w:rFonts w:cs="Calibri"/>
                <w:sz w:val="20"/>
                <w:szCs w:val="20"/>
              </w:rPr>
            </w:pPr>
          </w:p>
        </w:tc>
        <w:tc>
          <w:tcPr>
            <w:tcW w:w="897" w:type="dxa"/>
            <w:shd w:val="clear" w:color="auto" w:fill="auto"/>
          </w:tcPr>
          <w:p w14:paraId="507EEE60" w14:textId="5C079EBD" w:rsidR="00552C46" w:rsidRPr="001823ED" w:rsidRDefault="00552C46" w:rsidP="005136FD">
            <w:pPr>
              <w:widowControl w:val="0"/>
              <w:jc w:val="center"/>
              <w:rPr>
                <w:rFonts w:cs="Calibri"/>
                <w:sz w:val="20"/>
                <w:szCs w:val="20"/>
              </w:rPr>
            </w:pPr>
            <w:r w:rsidRPr="001823ED">
              <w:rPr>
                <w:rFonts w:cs="Calibri"/>
                <w:sz w:val="20"/>
                <w:szCs w:val="20"/>
              </w:rPr>
              <w:sym w:font="Symbol" w:char="F0AF"/>
            </w:r>
          </w:p>
        </w:tc>
        <w:tc>
          <w:tcPr>
            <w:tcW w:w="898" w:type="dxa"/>
            <w:shd w:val="clear" w:color="auto" w:fill="D9D9D9" w:themeFill="background1" w:themeFillShade="D9"/>
          </w:tcPr>
          <w:p w14:paraId="308BAF58" w14:textId="3C1AD458" w:rsidR="00552C46" w:rsidRPr="001823ED" w:rsidRDefault="00552C46" w:rsidP="005136FD">
            <w:pPr>
              <w:widowControl w:val="0"/>
              <w:jc w:val="center"/>
              <w:rPr>
                <w:rFonts w:cs="Arial"/>
                <w:b/>
                <w:bCs/>
                <w:sz w:val="20"/>
                <w:szCs w:val="20"/>
                <w:shd w:val="clear" w:color="auto" w:fill="FFFFFF"/>
              </w:rPr>
            </w:pPr>
            <w:r w:rsidRPr="001823ED">
              <w:rPr>
                <w:rFonts w:cs="Calibri"/>
                <w:sz w:val="20"/>
                <w:szCs w:val="20"/>
              </w:rPr>
              <w:sym w:font="Symbol" w:char="F0DB"/>
            </w:r>
          </w:p>
        </w:tc>
        <w:tc>
          <w:tcPr>
            <w:tcW w:w="898" w:type="dxa"/>
            <w:shd w:val="clear" w:color="auto" w:fill="D9D9D9" w:themeFill="background1" w:themeFillShade="D9"/>
          </w:tcPr>
          <w:p w14:paraId="79D28DF8" w14:textId="435AB389"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1D9D5C7B" w14:textId="036E04BD"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38F1980D" w14:textId="23797596" w:rsidR="00552C46" w:rsidRPr="001823ED" w:rsidRDefault="00552C46" w:rsidP="005136FD">
            <w:pPr>
              <w:widowControl w:val="0"/>
              <w:jc w:val="center"/>
              <w:rPr>
                <w:rFonts w:cs="Calibri"/>
                <w:sz w:val="20"/>
                <w:szCs w:val="20"/>
              </w:rPr>
            </w:pPr>
          </w:p>
        </w:tc>
      </w:tr>
      <w:tr w:rsidR="00552C46" w:rsidRPr="001823ED" w14:paraId="16CE0783" w14:textId="77777777" w:rsidTr="0086354C">
        <w:trPr>
          <w:trHeight w:val="20"/>
        </w:trPr>
        <w:tc>
          <w:tcPr>
            <w:tcW w:w="846" w:type="dxa"/>
            <w:vMerge/>
            <w:shd w:val="clear" w:color="auto" w:fill="auto"/>
          </w:tcPr>
          <w:p w14:paraId="56FB2CB0"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7CEE2E81" w14:textId="77777777" w:rsidR="00552C46" w:rsidRPr="001823ED" w:rsidRDefault="00552C46" w:rsidP="005136FD">
            <w:pPr>
              <w:widowControl w:val="0"/>
              <w:ind w:firstLine="360"/>
              <w:jc w:val="right"/>
              <w:rPr>
                <w:iCs/>
                <w:sz w:val="20"/>
                <w:szCs w:val="20"/>
              </w:rPr>
            </w:pPr>
            <w:r w:rsidRPr="001823ED">
              <w:rPr>
                <w:iCs/>
                <w:sz w:val="20"/>
                <w:szCs w:val="20"/>
              </w:rPr>
              <w:t>﻿</w:t>
            </w:r>
            <w:proofErr w:type="spellStart"/>
            <w:r w:rsidRPr="001823ED">
              <w:rPr>
                <w:i/>
                <w:sz w:val="20"/>
                <w:szCs w:val="20"/>
              </w:rPr>
              <w:t>Clostridiales</w:t>
            </w:r>
            <w:proofErr w:type="spellEnd"/>
            <w:r w:rsidRPr="001823ED">
              <w:rPr>
                <w:iCs/>
                <w:sz w:val="20"/>
                <w:szCs w:val="20"/>
              </w:rPr>
              <w:t xml:space="preserve"> BVAB2</w:t>
            </w:r>
          </w:p>
        </w:tc>
        <w:tc>
          <w:tcPr>
            <w:tcW w:w="898" w:type="dxa"/>
            <w:shd w:val="clear" w:color="auto" w:fill="D9D9D9" w:themeFill="background1" w:themeFillShade="D9"/>
          </w:tcPr>
          <w:p w14:paraId="045B91CE"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26261643"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1E30D884"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2EF0111" w14:textId="750380D4"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3608BD19" w14:textId="09A67367"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084B2C58" w14:textId="1D43AE7D"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46F0F1A7" w14:textId="77777777" w:rsidR="00552C46" w:rsidRPr="001823ED" w:rsidRDefault="00552C46" w:rsidP="005136FD">
            <w:pPr>
              <w:widowControl w:val="0"/>
              <w:rPr>
                <w:rFonts w:cs="Calibri"/>
                <w:sz w:val="20"/>
                <w:szCs w:val="20"/>
              </w:rPr>
            </w:pPr>
          </w:p>
        </w:tc>
      </w:tr>
      <w:tr w:rsidR="00552C46" w:rsidRPr="001823ED" w14:paraId="0591844C" w14:textId="77777777" w:rsidTr="0086354C">
        <w:trPr>
          <w:trHeight w:val="20"/>
        </w:trPr>
        <w:tc>
          <w:tcPr>
            <w:tcW w:w="846" w:type="dxa"/>
            <w:vMerge/>
            <w:shd w:val="clear" w:color="auto" w:fill="auto"/>
          </w:tcPr>
          <w:p w14:paraId="7902EBAD"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001849CE" w14:textId="77777777" w:rsidR="00552C46" w:rsidRPr="001823ED" w:rsidRDefault="00552C46" w:rsidP="005136FD">
            <w:pPr>
              <w:widowControl w:val="0"/>
              <w:ind w:firstLine="360"/>
              <w:jc w:val="right"/>
              <w:rPr>
                <w:iCs/>
                <w:sz w:val="20"/>
                <w:szCs w:val="20"/>
              </w:rPr>
            </w:pPr>
            <w:r w:rsidRPr="001823ED">
              <w:rPr>
                <w:rFonts w:cs="Calibri"/>
                <w:i/>
                <w:iCs/>
                <w:sz w:val="20"/>
                <w:szCs w:val="20"/>
              </w:rPr>
              <w:t>﻿</w:t>
            </w:r>
            <w:proofErr w:type="spellStart"/>
            <w:r w:rsidRPr="001823ED">
              <w:rPr>
                <w:rFonts w:cs="Calibri"/>
                <w:i/>
                <w:iCs/>
                <w:sz w:val="20"/>
                <w:szCs w:val="20"/>
              </w:rPr>
              <w:t>Dialister</w:t>
            </w:r>
            <w:proofErr w:type="spellEnd"/>
          </w:p>
        </w:tc>
        <w:tc>
          <w:tcPr>
            <w:tcW w:w="898" w:type="dxa"/>
            <w:shd w:val="clear" w:color="auto" w:fill="D9D9D9" w:themeFill="background1" w:themeFillShade="D9"/>
          </w:tcPr>
          <w:p w14:paraId="6B83533B"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7961DBFA" w14:textId="306A7A82"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3A411130" w14:textId="7627F2FD"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6D3D3294" w14:textId="7A831C3B"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5FCA574B" w14:textId="51A5E7B8" w:rsidR="00552C46" w:rsidRPr="001823ED" w:rsidRDefault="00552C46" w:rsidP="005136FD">
            <w:pPr>
              <w:widowControl w:val="0"/>
              <w:jc w:val="center"/>
              <w:rPr>
                <w:rFonts w:cs="Calibri"/>
                <w:sz w:val="20"/>
                <w:szCs w:val="20"/>
              </w:rPr>
            </w:pPr>
          </w:p>
        </w:tc>
        <w:tc>
          <w:tcPr>
            <w:tcW w:w="898" w:type="dxa"/>
            <w:shd w:val="clear" w:color="auto" w:fill="auto"/>
          </w:tcPr>
          <w:p w14:paraId="7083B814" w14:textId="07CF2617"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themeFill="background1" w:themeFillShade="D9"/>
          </w:tcPr>
          <w:p w14:paraId="0839BD52" w14:textId="03B328E0"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1F35CDFF" w14:textId="77777777" w:rsidTr="0086354C">
        <w:trPr>
          <w:trHeight w:val="20"/>
        </w:trPr>
        <w:tc>
          <w:tcPr>
            <w:tcW w:w="846" w:type="dxa"/>
            <w:vMerge/>
            <w:shd w:val="clear" w:color="auto" w:fill="auto"/>
          </w:tcPr>
          <w:p w14:paraId="3A8D077D"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4F6522DF" w14:textId="77777777" w:rsidR="00552C46" w:rsidRPr="001823ED" w:rsidRDefault="00552C46" w:rsidP="005136FD">
            <w:pPr>
              <w:widowControl w:val="0"/>
              <w:ind w:firstLine="360"/>
              <w:jc w:val="right"/>
              <w:rPr>
                <w:iCs/>
                <w:sz w:val="20"/>
                <w:szCs w:val="20"/>
              </w:rPr>
            </w:pPr>
            <w:r w:rsidRPr="001823ED">
              <w:rPr>
                <w:rFonts w:cs="Calibri"/>
                <w:i/>
                <w:iCs/>
                <w:sz w:val="20"/>
                <w:szCs w:val="20"/>
              </w:rPr>
              <w:t xml:space="preserve">﻿Gardnerella vaginalis </w:t>
            </w:r>
          </w:p>
        </w:tc>
        <w:tc>
          <w:tcPr>
            <w:tcW w:w="898" w:type="dxa"/>
            <w:shd w:val="clear" w:color="auto" w:fill="D9D9D9" w:themeFill="background1" w:themeFillShade="D9"/>
          </w:tcPr>
          <w:p w14:paraId="386A994C" w14:textId="0684F4B9" w:rsidR="00552C46" w:rsidRPr="001823ED" w:rsidRDefault="00552C46" w:rsidP="005136FD">
            <w:pPr>
              <w:widowControl w:val="0"/>
              <w:jc w:val="center"/>
              <w:rPr>
                <w:rFonts w:cs="Calibri"/>
                <w:sz w:val="20"/>
                <w:szCs w:val="20"/>
              </w:rPr>
            </w:pPr>
          </w:p>
        </w:tc>
        <w:tc>
          <w:tcPr>
            <w:tcW w:w="898" w:type="dxa"/>
            <w:shd w:val="clear" w:color="auto" w:fill="auto"/>
          </w:tcPr>
          <w:p w14:paraId="31DAD4DD" w14:textId="4CF2C80A"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tcPr>
          <w:p w14:paraId="3324F622" w14:textId="0BFAEE82"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2C0333A5" w14:textId="3E68C78F"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11E10AC0" w14:textId="1CF029A2"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01661802" w14:textId="5EBB177F"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44B3B74E" w14:textId="3DD73258"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15132421" w14:textId="77777777" w:rsidTr="0086354C">
        <w:trPr>
          <w:trHeight w:val="20"/>
        </w:trPr>
        <w:tc>
          <w:tcPr>
            <w:tcW w:w="846" w:type="dxa"/>
            <w:vMerge/>
            <w:shd w:val="clear" w:color="auto" w:fill="auto"/>
          </w:tcPr>
          <w:p w14:paraId="6E2C794A"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3B35FAED" w14:textId="77777777" w:rsidR="00552C46" w:rsidRPr="001823ED" w:rsidRDefault="00552C46" w:rsidP="005136FD">
            <w:pPr>
              <w:widowControl w:val="0"/>
              <w:ind w:firstLine="360"/>
              <w:jc w:val="right"/>
              <w:rPr>
                <w:iCs/>
                <w:sz w:val="20"/>
                <w:szCs w:val="20"/>
              </w:rPr>
            </w:pPr>
            <w:r w:rsidRPr="001823ED">
              <w:rPr>
                <w:iCs/>
                <w:sz w:val="20"/>
                <w:szCs w:val="20"/>
              </w:rPr>
              <w:t>﻿</w:t>
            </w:r>
            <w:proofErr w:type="spellStart"/>
            <w:r w:rsidRPr="001823ED">
              <w:rPr>
                <w:i/>
                <w:sz w:val="20"/>
                <w:szCs w:val="20"/>
              </w:rPr>
              <w:t>Lachnospiracea</w:t>
            </w:r>
            <w:proofErr w:type="spellEnd"/>
            <w:r w:rsidRPr="001823ED">
              <w:rPr>
                <w:iCs/>
                <w:sz w:val="20"/>
                <w:szCs w:val="20"/>
              </w:rPr>
              <w:t xml:space="preserve"> BVAB1</w:t>
            </w:r>
          </w:p>
        </w:tc>
        <w:tc>
          <w:tcPr>
            <w:tcW w:w="898" w:type="dxa"/>
            <w:shd w:val="clear" w:color="auto" w:fill="D9D9D9" w:themeFill="background1" w:themeFillShade="D9"/>
          </w:tcPr>
          <w:p w14:paraId="07A34EEE"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6CC8FF90" w14:textId="77777777" w:rsidR="00552C46" w:rsidRPr="001823ED" w:rsidRDefault="00552C46" w:rsidP="005136FD">
            <w:pPr>
              <w:widowControl w:val="0"/>
              <w:ind w:firstLine="360"/>
              <w:jc w:val="center"/>
              <w:rPr>
                <w:rFonts w:cs="Calibri"/>
                <w:sz w:val="20"/>
                <w:szCs w:val="20"/>
              </w:rPr>
            </w:pPr>
          </w:p>
        </w:tc>
        <w:tc>
          <w:tcPr>
            <w:tcW w:w="897" w:type="dxa"/>
            <w:shd w:val="clear" w:color="auto" w:fill="auto"/>
          </w:tcPr>
          <w:p w14:paraId="76012288" w14:textId="34F86BB9"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2496B8EA" w14:textId="5E6E4C53"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4540A613" w14:textId="6BA843D8" w:rsidR="00552C46" w:rsidRPr="001823ED" w:rsidRDefault="00552C46" w:rsidP="005136FD">
            <w:pPr>
              <w:widowControl w:val="0"/>
              <w:jc w:val="center"/>
              <w:rPr>
                <w:rFonts w:cs="Calibri"/>
                <w:sz w:val="20"/>
                <w:szCs w:val="20"/>
              </w:rPr>
            </w:pPr>
          </w:p>
        </w:tc>
        <w:tc>
          <w:tcPr>
            <w:tcW w:w="898" w:type="dxa"/>
            <w:shd w:val="clear" w:color="auto" w:fill="auto"/>
          </w:tcPr>
          <w:p w14:paraId="5C30022A" w14:textId="72006098"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38CFE83D" w14:textId="77777777" w:rsidR="00552C46" w:rsidRPr="001823ED" w:rsidRDefault="00552C46" w:rsidP="005136FD">
            <w:pPr>
              <w:widowControl w:val="0"/>
              <w:ind w:firstLine="360"/>
              <w:rPr>
                <w:rFonts w:cs="Calibri"/>
                <w:sz w:val="20"/>
                <w:szCs w:val="20"/>
              </w:rPr>
            </w:pPr>
          </w:p>
        </w:tc>
      </w:tr>
      <w:tr w:rsidR="00552C46" w:rsidRPr="001823ED" w14:paraId="403BB355" w14:textId="77777777" w:rsidTr="0086354C">
        <w:trPr>
          <w:trHeight w:val="20"/>
        </w:trPr>
        <w:tc>
          <w:tcPr>
            <w:tcW w:w="846" w:type="dxa"/>
            <w:vMerge/>
            <w:shd w:val="clear" w:color="auto" w:fill="auto"/>
          </w:tcPr>
          <w:p w14:paraId="1A5DBDD0"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19479467" w14:textId="77777777" w:rsidR="00552C46" w:rsidRPr="001823ED" w:rsidRDefault="00552C46" w:rsidP="005136FD">
            <w:pPr>
              <w:widowControl w:val="0"/>
              <w:ind w:firstLine="360"/>
              <w:jc w:val="right"/>
              <w:rPr>
                <w:iCs/>
                <w:sz w:val="20"/>
                <w:szCs w:val="20"/>
              </w:rPr>
            </w:pPr>
            <w:proofErr w:type="spellStart"/>
            <w:r w:rsidRPr="001823ED">
              <w:rPr>
                <w:i/>
                <w:sz w:val="20"/>
                <w:szCs w:val="20"/>
              </w:rPr>
              <w:t>Mageeibacillus</w:t>
            </w:r>
            <w:proofErr w:type="spellEnd"/>
            <w:r w:rsidRPr="001823ED">
              <w:rPr>
                <w:i/>
                <w:sz w:val="20"/>
                <w:szCs w:val="20"/>
              </w:rPr>
              <w:t xml:space="preserve"> </w:t>
            </w:r>
            <w:proofErr w:type="spellStart"/>
            <w:r w:rsidRPr="001823ED">
              <w:rPr>
                <w:i/>
                <w:sz w:val="20"/>
                <w:szCs w:val="20"/>
              </w:rPr>
              <w:t>indolicus</w:t>
            </w:r>
            <w:proofErr w:type="spellEnd"/>
          </w:p>
        </w:tc>
        <w:tc>
          <w:tcPr>
            <w:tcW w:w="898" w:type="dxa"/>
            <w:shd w:val="clear" w:color="auto" w:fill="D9D9D9" w:themeFill="background1" w:themeFillShade="D9"/>
          </w:tcPr>
          <w:p w14:paraId="4345FEAF"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476134BF"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77315DD2"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3BE94AB5"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7FE3E0AF" w14:textId="08084064"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642F9F18" w14:textId="77777777" w:rsidR="00552C46" w:rsidRPr="001823ED" w:rsidRDefault="00552C46" w:rsidP="005136FD">
            <w:pPr>
              <w:widowControl w:val="0"/>
              <w:ind w:firstLine="360"/>
              <w:rPr>
                <w:rFonts w:cs="Calibri"/>
                <w:sz w:val="20"/>
                <w:szCs w:val="20"/>
              </w:rPr>
            </w:pPr>
          </w:p>
        </w:tc>
        <w:tc>
          <w:tcPr>
            <w:tcW w:w="897" w:type="dxa"/>
            <w:shd w:val="clear" w:color="auto" w:fill="D9D9D9" w:themeFill="background1" w:themeFillShade="D9"/>
          </w:tcPr>
          <w:p w14:paraId="11F74FF0" w14:textId="77777777" w:rsidR="00552C46" w:rsidRPr="001823ED" w:rsidRDefault="00552C46" w:rsidP="005136FD">
            <w:pPr>
              <w:widowControl w:val="0"/>
              <w:ind w:firstLine="360"/>
              <w:rPr>
                <w:rFonts w:cs="Calibri"/>
                <w:sz w:val="20"/>
                <w:szCs w:val="20"/>
              </w:rPr>
            </w:pPr>
          </w:p>
        </w:tc>
      </w:tr>
      <w:tr w:rsidR="00552C46" w:rsidRPr="001823ED" w14:paraId="1DB920C9" w14:textId="77777777" w:rsidTr="0086354C">
        <w:trPr>
          <w:trHeight w:val="20"/>
        </w:trPr>
        <w:tc>
          <w:tcPr>
            <w:tcW w:w="846" w:type="dxa"/>
            <w:vMerge/>
            <w:shd w:val="clear" w:color="auto" w:fill="auto"/>
          </w:tcPr>
          <w:p w14:paraId="4D5B8D75"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4C4EA994" w14:textId="77777777" w:rsidR="00552C46" w:rsidRPr="001823ED" w:rsidRDefault="00552C46" w:rsidP="005136FD">
            <w:pPr>
              <w:widowControl w:val="0"/>
              <w:ind w:firstLine="360"/>
              <w:jc w:val="right"/>
              <w:rPr>
                <w:iCs/>
                <w:sz w:val="20"/>
                <w:szCs w:val="20"/>
              </w:rPr>
            </w:pPr>
            <w:r w:rsidRPr="001823ED">
              <w:rPr>
                <w:i/>
                <w:sz w:val="20"/>
                <w:szCs w:val="20"/>
              </w:rPr>
              <w:t>﻿Megasphaera</w:t>
            </w:r>
          </w:p>
        </w:tc>
        <w:tc>
          <w:tcPr>
            <w:tcW w:w="898" w:type="dxa"/>
            <w:shd w:val="clear" w:color="auto" w:fill="D9D9D9" w:themeFill="background1" w:themeFillShade="D9"/>
          </w:tcPr>
          <w:p w14:paraId="3F271432"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4F616D1D" w14:textId="124D4760"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themeFill="background1" w:themeFillShade="D9"/>
          </w:tcPr>
          <w:p w14:paraId="67A3D9E8"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13EB9A76" w14:textId="487306CF"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50915A09" w14:textId="313F9F32" w:rsidR="00552C46" w:rsidRPr="001823ED" w:rsidRDefault="00552C46" w:rsidP="005136FD">
            <w:pPr>
              <w:widowControl w:val="0"/>
              <w:jc w:val="center"/>
              <w:rPr>
                <w:rFonts w:cs="Calibri"/>
                <w:sz w:val="20"/>
                <w:szCs w:val="20"/>
              </w:rPr>
            </w:pPr>
          </w:p>
        </w:tc>
        <w:tc>
          <w:tcPr>
            <w:tcW w:w="898" w:type="dxa"/>
            <w:shd w:val="clear" w:color="auto" w:fill="auto"/>
          </w:tcPr>
          <w:p w14:paraId="7337FBCF" w14:textId="0F03278D"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45C42DA8" w14:textId="378963AB"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2D5E28BD" w14:textId="77777777" w:rsidTr="0086354C">
        <w:trPr>
          <w:trHeight w:val="20"/>
        </w:trPr>
        <w:tc>
          <w:tcPr>
            <w:tcW w:w="846" w:type="dxa"/>
            <w:vMerge/>
            <w:shd w:val="clear" w:color="auto" w:fill="auto"/>
          </w:tcPr>
          <w:p w14:paraId="622B6E26"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372D8B4F" w14:textId="77777777" w:rsidR="00552C46" w:rsidRPr="001823ED" w:rsidRDefault="00552C46" w:rsidP="005136FD">
            <w:pPr>
              <w:widowControl w:val="0"/>
              <w:ind w:firstLine="360"/>
              <w:jc w:val="right"/>
              <w:rPr>
                <w:iCs/>
                <w:sz w:val="20"/>
                <w:szCs w:val="20"/>
              </w:rPr>
            </w:pPr>
            <w:proofErr w:type="spellStart"/>
            <w:r w:rsidRPr="001823ED">
              <w:rPr>
                <w:i/>
                <w:sz w:val="20"/>
                <w:szCs w:val="20"/>
              </w:rPr>
              <w:t>Mobiluncus</w:t>
            </w:r>
            <w:proofErr w:type="spellEnd"/>
          </w:p>
        </w:tc>
        <w:tc>
          <w:tcPr>
            <w:tcW w:w="898" w:type="dxa"/>
            <w:shd w:val="clear" w:color="auto" w:fill="D9D9D9" w:themeFill="background1" w:themeFillShade="D9"/>
          </w:tcPr>
          <w:p w14:paraId="45DC8452"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1D11001" w14:textId="77777777" w:rsidR="00552C46" w:rsidRPr="001823ED" w:rsidRDefault="00552C46" w:rsidP="005136FD">
            <w:pPr>
              <w:widowControl w:val="0"/>
              <w:ind w:firstLine="360"/>
              <w:jc w:val="center"/>
              <w:rPr>
                <w:rFonts w:cs="Calibri"/>
                <w:sz w:val="20"/>
                <w:szCs w:val="20"/>
              </w:rPr>
            </w:pPr>
          </w:p>
        </w:tc>
        <w:tc>
          <w:tcPr>
            <w:tcW w:w="897" w:type="dxa"/>
            <w:shd w:val="clear" w:color="auto" w:fill="D9D9D9" w:themeFill="background1" w:themeFillShade="D9"/>
          </w:tcPr>
          <w:p w14:paraId="5C5FDDB0" w14:textId="58B597EC"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64C89548" w14:textId="511C96C5"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7E13DE05" w14:textId="6F17071E"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5B39511D" w14:textId="2F779ED7"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40E9A392" w14:textId="77777777" w:rsidR="00552C46" w:rsidRPr="001823ED" w:rsidRDefault="00552C46" w:rsidP="005136FD">
            <w:pPr>
              <w:widowControl w:val="0"/>
              <w:ind w:firstLine="360"/>
              <w:rPr>
                <w:rFonts w:cs="Calibri"/>
                <w:sz w:val="20"/>
                <w:szCs w:val="20"/>
              </w:rPr>
            </w:pPr>
          </w:p>
        </w:tc>
      </w:tr>
      <w:tr w:rsidR="00552C46" w:rsidRPr="001823ED" w14:paraId="384F9582" w14:textId="77777777" w:rsidTr="0086354C">
        <w:trPr>
          <w:trHeight w:val="20"/>
        </w:trPr>
        <w:tc>
          <w:tcPr>
            <w:tcW w:w="846" w:type="dxa"/>
            <w:vMerge/>
            <w:shd w:val="clear" w:color="auto" w:fill="auto"/>
          </w:tcPr>
          <w:p w14:paraId="104DA3A5"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0D8BA146" w14:textId="77777777" w:rsidR="00552C46" w:rsidRPr="001823ED" w:rsidRDefault="00552C46" w:rsidP="005136FD">
            <w:pPr>
              <w:widowControl w:val="0"/>
              <w:ind w:firstLine="360"/>
              <w:jc w:val="right"/>
              <w:rPr>
                <w:iCs/>
                <w:sz w:val="20"/>
                <w:szCs w:val="20"/>
              </w:rPr>
            </w:pPr>
            <w:r w:rsidRPr="001823ED">
              <w:rPr>
                <w:rFonts w:cs="Calibri"/>
                <w:i/>
                <w:iCs/>
                <w:sz w:val="20"/>
                <w:szCs w:val="20"/>
              </w:rPr>
              <w:t>Mycoplasma</w:t>
            </w:r>
          </w:p>
        </w:tc>
        <w:tc>
          <w:tcPr>
            <w:tcW w:w="898" w:type="dxa"/>
            <w:shd w:val="clear" w:color="auto" w:fill="D9D9D9" w:themeFill="background1" w:themeFillShade="D9"/>
          </w:tcPr>
          <w:p w14:paraId="3C23447A"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12F9418F" w14:textId="5069BAAA"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7F54C5FD" w14:textId="2C34755C"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723C8034" w14:textId="74792613"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160F507E" w14:textId="208FC123"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648FA027" w14:textId="1B156357"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74FFE2B7" w14:textId="77777777" w:rsidR="00552C46" w:rsidRPr="001823ED" w:rsidRDefault="00552C46" w:rsidP="005136FD">
            <w:pPr>
              <w:widowControl w:val="0"/>
              <w:ind w:firstLine="360"/>
              <w:rPr>
                <w:rFonts w:cs="Calibri"/>
                <w:sz w:val="20"/>
                <w:szCs w:val="20"/>
              </w:rPr>
            </w:pPr>
          </w:p>
        </w:tc>
      </w:tr>
      <w:tr w:rsidR="00552C46" w:rsidRPr="001823ED" w14:paraId="063495A9" w14:textId="77777777" w:rsidTr="0086354C">
        <w:trPr>
          <w:trHeight w:val="20"/>
        </w:trPr>
        <w:tc>
          <w:tcPr>
            <w:tcW w:w="846" w:type="dxa"/>
            <w:vMerge/>
            <w:shd w:val="clear" w:color="auto" w:fill="auto"/>
          </w:tcPr>
          <w:p w14:paraId="60277132"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642E6440" w14:textId="77777777" w:rsidR="00552C46" w:rsidRPr="001823ED" w:rsidRDefault="00552C46" w:rsidP="005136FD">
            <w:pPr>
              <w:widowControl w:val="0"/>
              <w:ind w:firstLine="360"/>
              <w:jc w:val="right"/>
              <w:rPr>
                <w:rFonts w:cs="Calibri"/>
                <w:i/>
                <w:iCs/>
                <w:sz w:val="20"/>
                <w:szCs w:val="20"/>
              </w:rPr>
            </w:pPr>
            <w:r w:rsidRPr="001823ED">
              <w:rPr>
                <w:iCs/>
                <w:sz w:val="20"/>
                <w:szCs w:val="20"/>
              </w:rPr>
              <w:t>﻿</w:t>
            </w:r>
            <w:proofErr w:type="spellStart"/>
            <w:r w:rsidRPr="001823ED">
              <w:rPr>
                <w:i/>
                <w:sz w:val="20"/>
                <w:szCs w:val="20"/>
              </w:rPr>
              <w:t>Parvimonas</w:t>
            </w:r>
            <w:proofErr w:type="spellEnd"/>
          </w:p>
        </w:tc>
        <w:tc>
          <w:tcPr>
            <w:tcW w:w="898" w:type="dxa"/>
            <w:shd w:val="clear" w:color="auto" w:fill="D9D9D9" w:themeFill="background1" w:themeFillShade="D9"/>
          </w:tcPr>
          <w:p w14:paraId="50D274C0"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0B2FC1D4" w14:textId="35E38A74"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422B95DE" w14:textId="084070A4" w:rsidR="00552C46" w:rsidRPr="001823ED" w:rsidRDefault="00552C46" w:rsidP="005136FD">
            <w:pPr>
              <w:widowControl w:val="0"/>
              <w:jc w:val="center"/>
              <w:rPr>
                <w:rFonts w:cs="Calibri"/>
                <w:sz w:val="20"/>
                <w:szCs w:val="20"/>
              </w:rPr>
            </w:pPr>
          </w:p>
        </w:tc>
        <w:tc>
          <w:tcPr>
            <w:tcW w:w="898" w:type="dxa"/>
            <w:shd w:val="clear" w:color="auto" w:fill="auto"/>
          </w:tcPr>
          <w:p w14:paraId="1D2133CD" w14:textId="2A2DF9AE" w:rsidR="00552C46" w:rsidRPr="001823ED" w:rsidRDefault="00552C46" w:rsidP="005136FD">
            <w:pPr>
              <w:widowControl w:val="0"/>
              <w:jc w:val="center"/>
              <w:rPr>
                <w:rFonts w:cs="Arial"/>
                <w:b/>
                <w:bCs/>
                <w:sz w:val="20"/>
                <w:szCs w:val="20"/>
                <w:shd w:val="clear" w:color="auto" w:fill="FFFFFF"/>
              </w:rPr>
            </w:pPr>
            <w:r w:rsidRPr="001823ED">
              <w:rPr>
                <w:rFonts w:cs="Arial"/>
                <w:b/>
                <w:bCs/>
                <w:sz w:val="20"/>
                <w:szCs w:val="20"/>
                <w:shd w:val="clear" w:color="auto" w:fill="FFFFFF"/>
              </w:rPr>
              <w:t>↑</w:t>
            </w:r>
          </w:p>
        </w:tc>
        <w:tc>
          <w:tcPr>
            <w:tcW w:w="898" w:type="dxa"/>
            <w:shd w:val="clear" w:color="auto" w:fill="D9D9D9" w:themeFill="background1" w:themeFillShade="D9"/>
          </w:tcPr>
          <w:p w14:paraId="1DCD0442" w14:textId="6FF6952B"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5D292813" w14:textId="1E90D427" w:rsidR="00552C46" w:rsidRPr="001823ED" w:rsidRDefault="00552C46" w:rsidP="005136FD">
            <w:pPr>
              <w:widowControl w:val="0"/>
              <w:jc w:val="center"/>
              <w:rPr>
                <w:rFonts w:cs="Arial"/>
                <w:b/>
                <w:bCs/>
                <w:sz w:val="20"/>
                <w:szCs w:val="20"/>
                <w:shd w:val="clear" w:color="auto" w:fill="FFFFFF"/>
              </w:rPr>
            </w:pPr>
          </w:p>
        </w:tc>
        <w:tc>
          <w:tcPr>
            <w:tcW w:w="897" w:type="dxa"/>
            <w:shd w:val="clear" w:color="auto" w:fill="D9D9D9" w:themeFill="background1" w:themeFillShade="D9"/>
          </w:tcPr>
          <w:p w14:paraId="0EF3416A" w14:textId="77777777" w:rsidR="00552C46" w:rsidRPr="001823ED" w:rsidRDefault="00552C46" w:rsidP="005136FD">
            <w:pPr>
              <w:widowControl w:val="0"/>
              <w:ind w:firstLine="360"/>
              <w:rPr>
                <w:rFonts w:cs="Calibri"/>
                <w:sz w:val="20"/>
                <w:szCs w:val="20"/>
              </w:rPr>
            </w:pPr>
          </w:p>
        </w:tc>
      </w:tr>
      <w:tr w:rsidR="00552C46" w:rsidRPr="001823ED" w14:paraId="5B960E87" w14:textId="77777777" w:rsidTr="0086354C">
        <w:trPr>
          <w:trHeight w:val="20"/>
        </w:trPr>
        <w:tc>
          <w:tcPr>
            <w:tcW w:w="846" w:type="dxa"/>
            <w:vMerge/>
            <w:shd w:val="clear" w:color="auto" w:fill="auto"/>
          </w:tcPr>
          <w:p w14:paraId="2A5E2194"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783AF28B" w14:textId="77777777" w:rsidR="00552C46" w:rsidRPr="001823ED" w:rsidRDefault="00552C46" w:rsidP="005136FD">
            <w:pPr>
              <w:widowControl w:val="0"/>
              <w:ind w:firstLine="360"/>
              <w:jc w:val="right"/>
              <w:rPr>
                <w:rFonts w:cs="Calibri"/>
                <w:i/>
                <w:iCs/>
                <w:sz w:val="20"/>
                <w:szCs w:val="20"/>
              </w:rPr>
            </w:pPr>
            <w:proofErr w:type="spellStart"/>
            <w:r w:rsidRPr="001823ED">
              <w:rPr>
                <w:i/>
                <w:sz w:val="20"/>
                <w:szCs w:val="20"/>
              </w:rPr>
              <w:t>Peptoniphilus</w:t>
            </w:r>
            <w:proofErr w:type="spellEnd"/>
          </w:p>
        </w:tc>
        <w:tc>
          <w:tcPr>
            <w:tcW w:w="898" w:type="dxa"/>
            <w:shd w:val="clear" w:color="auto" w:fill="D9D9D9" w:themeFill="background1" w:themeFillShade="D9"/>
          </w:tcPr>
          <w:p w14:paraId="74ECE9FF"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21191835" w14:textId="142A13F4"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5AC26040" w14:textId="2B2DFAA7"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6DF35D86" w14:textId="21056273" w:rsidR="00552C46" w:rsidRPr="001823ED" w:rsidRDefault="00552C46" w:rsidP="005136FD">
            <w:pPr>
              <w:widowControl w:val="0"/>
              <w:jc w:val="center"/>
              <w:rPr>
                <w:rFonts w:cs="Arial"/>
                <w:b/>
                <w:bCs/>
                <w:sz w:val="20"/>
                <w:szCs w:val="20"/>
                <w:shd w:val="clear" w:color="auto" w:fill="FFFFFF"/>
              </w:rPr>
            </w:pPr>
          </w:p>
        </w:tc>
        <w:tc>
          <w:tcPr>
            <w:tcW w:w="898" w:type="dxa"/>
            <w:shd w:val="clear" w:color="auto" w:fill="D9D9D9" w:themeFill="background1" w:themeFillShade="D9"/>
          </w:tcPr>
          <w:p w14:paraId="2C57DB90" w14:textId="61C5815D"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418EDCC8" w14:textId="3527A3F3" w:rsidR="00552C46" w:rsidRPr="001823ED" w:rsidRDefault="00552C46" w:rsidP="005136FD">
            <w:pPr>
              <w:widowControl w:val="0"/>
              <w:jc w:val="center"/>
              <w:rPr>
                <w:rFonts w:cs="Arial"/>
                <w:b/>
                <w:bCs/>
                <w:sz w:val="20"/>
                <w:szCs w:val="20"/>
                <w:shd w:val="clear" w:color="auto" w:fill="FFFFFF"/>
              </w:rPr>
            </w:pPr>
          </w:p>
        </w:tc>
        <w:tc>
          <w:tcPr>
            <w:tcW w:w="897" w:type="dxa"/>
            <w:shd w:val="clear" w:color="auto" w:fill="D9D9D9" w:themeFill="background1" w:themeFillShade="D9"/>
          </w:tcPr>
          <w:p w14:paraId="20B8CAB6" w14:textId="1721F9F4" w:rsidR="00552C46" w:rsidRPr="001823ED" w:rsidRDefault="00552C46" w:rsidP="005136FD">
            <w:pPr>
              <w:widowControl w:val="0"/>
              <w:jc w:val="center"/>
              <w:rPr>
                <w:rFonts w:cs="Calibri"/>
                <w:sz w:val="20"/>
                <w:szCs w:val="20"/>
              </w:rPr>
            </w:pPr>
          </w:p>
        </w:tc>
      </w:tr>
      <w:tr w:rsidR="00552C46" w:rsidRPr="001823ED" w14:paraId="5ABC3488" w14:textId="77777777" w:rsidTr="0086354C">
        <w:trPr>
          <w:trHeight w:val="20"/>
        </w:trPr>
        <w:tc>
          <w:tcPr>
            <w:tcW w:w="846" w:type="dxa"/>
            <w:vMerge/>
            <w:shd w:val="clear" w:color="auto" w:fill="auto"/>
          </w:tcPr>
          <w:p w14:paraId="26B82E55"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02D62BD4"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w:t>
            </w:r>
            <w:proofErr w:type="spellStart"/>
            <w:r w:rsidRPr="001823ED">
              <w:rPr>
                <w:rFonts w:cs="Calibri"/>
                <w:i/>
                <w:iCs/>
                <w:sz w:val="20"/>
                <w:szCs w:val="20"/>
              </w:rPr>
              <w:t>Prevotella</w:t>
            </w:r>
            <w:proofErr w:type="spellEnd"/>
          </w:p>
        </w:tc>
        <w:tc>
          <w:tcPr>
            <w:tcW w:w="898" w:type="dxa"/>
            <w:shd w:val="clear" w:color="auto" w:fill="D9D9D9" w:themeFill="background1" w:themeFillShade="D9"/>
          </w:tcPr>
          <w:p w14:paraId="01430B59"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02CAFE1A" w14:textId="7B8AE44C"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tcPr>
          <w:p w14:paraId="4082D13E" w14:textId="0665B68A"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75A20F04" w14:textId="54BC8321"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auto"/>
          </w:tcPr>
          <w:p w14:paraId="65270383" w14:textId="264AD9BC"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24BEAA8F" w14:textId="4A8DC69B"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tcPr>
          <w:p w14:paraId="41A1EDFD" w14:textId="5C55B1D2"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r>
      <w:tr w:rsidR="00552C46" w:rsidRPr="001823ED" w14:paraId="08FCD1E7" w14:textId="77777777" w:rsidTr="0086354C">
        <w:trPr>
          <w:trHeight w:val="20"/>
        </w:trPr>
        <w:tc>
          <w:tcPr>
            <w:tcW w:w="846" w:type="dxa"/>
            <w:vMerge/>
            <w:shd w:val="clear" w:color="auto" w:fill="auto"/>
          </w:tcPr>
          <w:p w14:paraId="01381A74"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605B8DD5" w14:textId="77777777" w:rsidR="00552C46" w:rsidRPr="001823ED" w:rsidRDefault="00552C46" w:rsidP="005136FD">
            <w:pPr>
              <w:widowControl w:val="0"/>
              <w:ind w:firstLine="360"/>
              <w:jc w:val="right"/>
              <w:rPr>
                <w:rFonts w:cs="Calibri"/>
                <w:i/>
                <w:iCs/>
                <w:sz w:val="20"/>
                <w:szCs w:val="20"/>
              </w:rPr>
            </w:pPr>
            <w:r w:rsidRPr="001823ED">
              <w:rPr>
                <w:iCs/>
                <w:sz w:val="20"/>
                <w:szCs w:val="20"/>
              </w:rPr>
              <w:t>﻿</w:t>
            </w:r>
            <w:proofErr w:type="spellStart"/>
            <w:r w:rsidRPr="001823ED">
              <w:rPr>
                <w:i/>
                <w:sz w:val="20"/>
                <w:szCs w:val="20"/>
              </w:rPr>
              <w:t>Porphyromonas</w:t>
            </w:r>
            <w:proofErr w:type="spellEnd"/>
            <w:r w:rsidRPr="001823ED">
              <w:rPr>
                <w:iCs/>
                <w:sz w:val="20"/>
                <w:szCs w:val="20"/>
              </w:rPr>
              <w:t xml:space="preserve"> species</w:t>
            </w:r>
          </w:p>
        </w:tc>
        <w:tc>
          <w:tcPr>
            <w:tcW w:w="898" w:type="dxa"/>
            <w:shd w:val="clear" w:color="auto" w:fill="D9D9D9" w:themeFill="background1" w:themeFillShade="D9"/>
          </w:tcPr>
          <w:p w14:paraId="16880E52"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3F99B597" w14:textId="32850E5C"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06D82A9D"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2DE78AD3" w14:textId="470EAF89"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26C58690" w14:textId="43B6FAC2"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02C807DA" w14:textId="68963ECB"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4EE1D8E3" w14:textId="40C2EF9D"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49CA93A3" w14:textId="77777777" w:rsidTr="0086354C">
        <w:trPr>
          <w:trHeight w:val="20"/>
        </w:trPr>
        <w:tc>
          <w:tcPr>
            <w:tcW w:w="846" w:type="dxa"/>
            <w:vMerge/>
            <w:shd w:val="clear" w:color="auto" w:fill="auto"/>
          </w:tcPr>
          <w:p w14:paraId="660D3C72"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24D4BDBA" w14:textId="77777777" w:rsidR="00552C46" w:rsidRPr="001823ED" w:rsidRDefault="00552C46" w:rsidP="005136FD">
            <w:pPr>
              <w:widowControl w:val="0"/>
              <w:ind w:firstLine="360"/>
              <w:jc w:val="right"/>
              <w:rPr>
                <w:rFonts w:cs="Calibri"/>
                <w:sz w:val="20"/>
                <w:szCs w:val="20"/>
              </w:rPr>
            </w:pPr>
            <w:r w:rsidRPr="001823ED">
              <w:rPr>
                <w:rFonts w:cs="Calibri"/>
                <w:i/>
                <w:iCs/>
                <w:sz w:val="20"/>
                <w:szCs w:val="20"/>
              </w:rPr>
              <w:t>﻿</w:t>
            </w:r>
            <w:proofErr w:type="spellStart"/>
            <w:r w:rsidRPr="001823ED">
              <w:rPr>
                <w:rFonts w:cs="Calibri"/>
                <w:i/>
                <w:iCs/>
                <w:sz w:val="20"/>
                <w:szCs w:val="20"/>
              </w:rPr>
              <w:t>Sneathia</w:t>
            </w:r>
            <w:proofErr w:type="spellEnd"/>
            <w:r w:rsidRPr="001823ED">
              <w:rPr>
                <w:rFonts w:cs="Calibri"/>
                <w:i/>
                <w:iCs/>
                <w:sz w:val="20"/>
                <w:szCs w:val="20"/>
              </w:rPr>
              <w:t xml:space="preserve"> </w:t>
            </w:r>
            <w:r w:rsidRPr="001823ED">
              <w:rPr>
                <w:rFonts w:cs="Calibri"/>
                <w:sz w:val="20"/>
                <w:szCs w:val="20"/>
              </w:rPr>
              <w:t>species</w:t>
            </w:r>
          </w:p>
        </w:tc>
        <w:tc>
          <w:tcPr>
            <w:tcW w:w="898" w:type="dxa"/>
            <w:shd w:val="clear" w:color="auto" w:fill="D9D9D9" w:themeFill="background1" w:themeFillShade="D9"/>
          </w:tcPr>
          <w:p w14:paraId="00AD364E"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44B418F1" w14:textId="3C47AC54"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4C2DB798" w14:textId="07187DD0"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themeFill="background1" w:themeFillShade="D9"/>
          </w:tcPr>
          <w:p w14:paraId="10E922E1" w14:textId="56D7E54A" w:rsidR="00552C46" w:rsidRPr="001823ED" w:rsidRDefault="00552C46" w:rsidP="005136FD">
            <w:pPr>
              <w:widowControl w:val="0"/>
              <w:jc w:val="center"/>
              <w:rPr>
                <w:rFonts w:cs="Calibri"/>
                <w:sz w:val="20"/>
                <w:szCs w:val="20"/>
              </w:rPr>
            </w:pPr>
          </w:p>
        </w:tc>
        <w:tc>
          <w:tcPr>
            <w:tcW w:w="898" w:type="dxa"/>
            <w:shd w:val="clear" w:color="auto" w:fill="auto"/>
          </w:tcPr>
          <w:p w14:paraId="5AEBD15A" w14:textId="7CF65E98"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auto"/>
          </w:tcPr>
          <w:p w14:paraId="23CB4BB4" w14:textId="52712CD6"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auto"/>
          </w:tcPr>
          <w:p w14:paraId="49240258" w14:textId="36C62B7A"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47B0EE56" w14:textId="77777777" w:rsidTr="0086354C">
        <w:trPr>
          <w:trHeight w:val="20"/>
        </w:trPr>
        <w:tc>
          <w:tcPr>
            <w:tcW w:w="846" w:type="dxa"/>
            <w:vMerge/>
            <w:shd w:val="clear" w:color="auto" w:fill="auto"/>
          </w:tcPr>
          <w:p w14:paraId="7B8EC175"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2EA0AABA" w14:textId="77777777" w:rsidR="00552C46" w:rsidRPr="001823ED" w:rsidRDefault="00552C46" w:rsidP="005136FD">
            <w:pPr>
              <w:widowControl w:val="0"/>
              <w:ind w:firstLine="360"/>
              <w:jc w:val="right"/>
              <w:rPr>
                <w:rFonts w:cs="Calibri"/>
                <w:i/>
                <w:iCs/>
                <w:sz w:val="20"/>
                <w:szCs w:val="20"/>
              </w:rPr>
            </w:pPr>
            <w:r w:rsidRPr="001823ED">
              <w:rPr>
                <w:i/>
                <w:sz w:val="20"/>
                <w:szCs w:val="20"/>
              </w:rPr>
              <w:t>Streptococcus</w:t>
            </w:r>
            <w:r w:rsidRPr="001823ED">
              <w:rPr>
                <w:iCs/>
                <w:sz w:val="20"/>
                <w:szCs w:val="20"/>
              </w:rPr>
              <w:t xml:space="preserve"> species</w:t>
            </w:r>
          </w:p>
        </w:tc>
        <w:tc>
          <w:tcPr>
            <w:tcW w:w="898" w:type="dxa"/>
            <w:shd w:val="clear" w:color="auto" w:fill="D9D9D9" w:themeFill="background1" w:themeFillShade="D9"/>
          </w:tcPr>
          <w:p w14:paraId="13CBBF68" w14:textId="77777777" w:rsidR="00552C46" w:rsidRPr="001823ED" w:rsidRDefault="00552C46" w:rsidP="005136FD">
            <w:pPr>
              <w:widowControl w:val="0"/>
              <w:ind w:firstLine="360"/>
              <w:jc w:val="center"/>
              <w:rPr>
                <w:rFonts w:cs="Calibri"/>
                <w:sz w:val="20"/>
                <w:szCs w:val="20"/>
              </w:rPr>
            </w:pPr>
          </w:p>
        </w:tc>
        <w:tc>
          <w:tcPr>
            <w:tcW w:w="898" w:type="dxa"/>
            <w:shd w:val="clear" w:color="auto" w:fill="auto"/>
          </w:tcPr>
          <w:p w14:paraId="1FF86899" w14:textId="19F66B9A"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7" w:type="dxa"/>
            <w:shd w:val="clear" w:color="auto" w:fill="D9D9D9" w:themeFill="background1" w:themeFillShade="D9"/>
          </w:tcPr>
          <w:p w14:paraId="17D17B0B" w14:textId="7DEF089A"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5A6A1715" w14:textId="353895CF"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33046269" w14:textId="7ACE6D21"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4A40318F" w14:textId="66F3D8C5" w:rsidR="00552C46" w:rsidRPr="001823ED" w:rsidRDefault="00552C46" w:rsidP="005136FD">
            <w:pPr>
              <w:widowControl w:val="0"/>
              <w:jc w:val="center"/>
              <w:rPr>
                <w:rFonts w:cs="Calibri"/>
                <w:sz w:val="20"/>
                <w:szCs w:val="20"/>
              </w:rPr>
            </w:pPr>
          </w:p>
        </w:tc>
        <w:tc>
          <w:tcPr>
            <w:tcW w:w="897" w:type="dxa"/>
            <w:shd w:val="clear" w:color="auto" w:fill="D9D9D9" w:themeFill="background1" w:themeFillShade="D9"/>
          </w:tcPr>
          <w:p w14:paraId="1BBA0581" w14:textId="279F485E"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r w:rsidR="00552C46" w:rsidRPr="001823ED" w14:paraId="78EF47A5" w14:textId="77777777" w:rsidTr="0086354C">
        <w:trPr>
          <w:trHeight w:val="20"/>
        </w:trPr>
        <w:tc>
          <w:tcPr>
            <w:tcW w:w="846" w:type="dxa"/>
            <w:vMerge/>
            <w:shd w:val="clear" w:color="auto" w:fill="auto"/>
          </w:tcPr>
          <w:p w14:paraId="69B43B19"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424C1077" w14:textId="77777777" w:rsidR="00552C46" w:rsidRPr="001823ED" w:rsidRDefault="00552C46" w:rsidP="005136FD">
            <w:pPr>
              <w:widowControl w:val="0"/>
              <w:ind w:firstLine="360"/>
              <w:jc w:val="right"/>
              <w:rPr>
                <w:rFonts w:cs="Calibri"/>
                <w:i/>
                <w:iCs/>
                <w:sz w:val="20"/>
                <w:szCs w:val="20"/>
              </w:rPr>
            </w:pPr>
            <w:r w:rsidRPr="001823ED">
              <w:rPr>
                <w:iCs/>
                <w:sz w:val="20"/>
                <w:szCs w:val="20"/>
              </w:rPr>
              <w:t>BVAB TM7-H1</w:t>
            </w:r>
          </w:p>
        </w:tc>
        <w:tc>
          <w:tcPr>
            <w:tcW w:w="898" w:type="dxa"/>
            <w:shd w:val="clear" w:color="auto" w:fill="D9D9D9" w:themeFill="background1" w:themeFillShade="D9"/>
          </w:tcPr>
          <w:p w14:paraId="25CF28B5" w14:textId="77777777" w:rsidR="00552C46" w:rsidRPr="001823ED" w:rsidRDefault="00552C46" w:rsidP="005136FD">
            <w:pPr>
              <w:widowControl w:val="0"/>
              <w:ind w:firstLine="360"/>
              <w:jc w:val="center"/>
              <w:rPr>
                <w:rFonts w:cs="Calibri"/>
                <w:sz w:val="20"/>
                <w:szCs w:val="20"/>
              </w:rPr>
            </w:pPr>
          </w:p>
        </w:tc>
        <w:tc>
          <w:tcPr>
            <w:tcW w:w="898" w:type="dxa"/>
            <w:shd w:val="clear" w:color="auto" w:fill="D9D9D9" w:themeFill="background1" w:themeFillShade="D9"/>
          </w:tcPr>
          <w:p w14:paraId="5EB9824E" w14:textId="77777777" w:rsidR="00552C46" w:rsidRPr="001823ED" w:rsidRDefault="00552C46" w:rsidP="005136FD">
            <w:pPr>
              <w:widowControl w:val="0"/>
              <w:ind w:firstLine="360"/>
              <w:jc w:val="center"/>
              <w:rPr>
                <w:rFonts w:cs="Calibri"/>
                <w:sz w:val="20"/>
                <w:szCs w:val="20"/>
              </w:rPr>
            </w:pPr>
          </w:p>
        </w:tc>
        <w:tc>
          <w:tcPr>
            <w:tcW w:w="897" w:type="dxa"/>
            <w:shd w:val="clear" w:color="auto" w:fill="auto"/>
          </w:tcPr>
          <w:p w14:paraId="0DC8CFB8" w14:textId="17271A01"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6BD5701A" w14:textId="2E2AA63F" w:rsidR="00552C46" w:rsidRPr="001823ED" w:rsidRDefault="00552C46" w:rsidP="005136FD">
            <w:pPr>
              <w:widowControl w:val="0"/>
              <w:jc w:val="center"/>
              <w:rPr>
                <w:rFonts w:cs="Calibri"/>
                <w:sz w:val="20"/>
                <w:szCs w:val="20"/>
              </w:rPr>
            </w:pPr>
          </w:p>
        </w:tc>
        <w:tc>
          <w:tcPr>
            <w:tcW w:w="898" w:type="dxa"/>
            <w:shd w:val="clear" w:color="auto" w:fill="D9D9D9" w:themeFill="background1" w:themeFillShade="D9"/>
          </w:tcPr>
          <w:p w14:paraId="763A805D" w14:textId="5C3D73A9" w:rsidR="00552C46" w:rsidRPr="001823ED" w:rsidRDefault="00552C46" w:rsidP="005136FD">
            <w:pPr>
              <w:widowControl w:val="0"/>
              <w:jc w:val="center"/>
              <w:rPr>
                <w:rFonts w:cs="Calibri"/>
                <w:sz w:val="20"/>
                <w:szCs w:val="20"/>
              </w:rPr>
            </w:pPr>
          </w:p>
        </w:tc>
        <w:tc>
          <w:tcPr>
            <w:tcW w:w="898" w:type="dxa"/>
            <w:shd w:val="clear" w:color="auto" w:fill="auto"/>
          </w:tcPr>
          <w:p w14:paraId="3D5B77C8" w14:textId="282C3DD1"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D9D9D9" w:themeFill="background1" w:themeFillShade="D9"/>
          </w:tcPr>
          <w:p w14:paraId="790F0134" w14:textId="77777777" w:rsidR="00552C46" w:rsidRPr="001823ED" w:rsidRDefault="00552C46" w:rsidP="005136FD">
            <w:pPr>
              <w:widowControl w:val="0"/>
              <w:ind w:firstLine="360"/>
              <w:jc w:val="center"/>
              <w:rPr>
                <w:rFonts w:cs="Calibri"/>
                <w:sz w:val="20"/>
                <w:szCs w:val="20"/>
              </w:rPr>
            </w:pPr>
          </w:p>
        </w:tc>
      </w:tr>
      <w:tr w:rsidR="00552C46" w:rsidRPr="001823ED" w14:paraId="1EA99945" w14:textId="77777777" w:rsidTr="0086354C">
        <w:trPr>
          <w:trHeight w:val="20"/>
        </w:trPr>
        <w:tc>
          <w:tcPr>
            <w:tcW w:w="846" w:type="dxa"/>
            <w:vMerge/>
            <w:shd w:val="clear" w:color="auto" w:fill="auto"/>
          </w:tcPr>
          <w:p w14:paraId="0E9C7B68" w14:textId="77777777" w:rsidR="00552C46" w:rsidRPr="001823ED" w:rsidRDefault="00552C46" w:rsidP="005136FD">
            <w:pPr>
              <w:widowControl w:val="0"/>
              <w:ind w:firstLine="360"/>
              <w:jc w:val="right"/>
              <w:rPr>
                <w:rFonts w:cs="Calibri"/>
                <w:i/>
                <w:iCs/>
                <w:sz w:val="20"/>
                <w:szCs w:val="20"/>
              </w:rPr>
            </w:pPr>
          </w:p>
        </w:tc>
        <w:tc>
          <w:tcPr>
            <w:tcW w:w="3402" w:type="dxa"/>
            <w:shd w:val="clear" w:color="auto" w:fill="auto"/>
          </w:tcPr>
          <w:p w14:paraId="2436FF01" w14:textId="77777777" w:rsidR="00552C46" w:rsidRPr="001823ED" w:rsidRDefault="00552C46" w:rsidP="005136FD">
            <w:pPr>
              <w:widowControl w:val="0"/>
              <w:ind w:firstLine="360"/>
              <w:jc w:val="right"/>
              <w:rPr>
                <w:rFonts w:cs="Calibri"/>
                <w:i/>
                <w:iCs/>
                <w:sz w:val="20"/>
                <w:szCs w:val="20"/>
              </w:rPr>
            </w:pPr>
            <w:r w:rsidRPr="001823ED">
              <w:rPr>
                <w:rFonts w:cs="Calibri"/>
                <w:i/>
                <w:iCs/>
                <w:sz w:val="20"/>
                <w:szCs w:val="20"/>
              </w:rPr>
              <w:t>﻿</w:t>
            </w:r>
            <w:proofErr w:type="spellStart"/>
            <w:r w:rsidRPr="001823ED">
              <w:rPr>
                <w:rFonts w:cs="Calibri"/>
                <w:i/>
                <w:iCs/>
                <w:sz w:val="20"/>
                <w:szCs w:val="20"/>
              </w:rPr>
              <w:t>Ureaplasma</w:t>
            </w:r>
            <w:proofErr w:type="spellEnd"/>
            <w:r w:rsidRPr="001823ED">
              <w:rPr>
                <w:rFonts w:cs="Calibri"/>
                <w:i/>
                <w:iCs/>
                <w:sz w:val="20"/>
                <w:szCs w:val="20"/>
              </w:rPr>
              <w:t xml:space="preserve"> </w:t>
            </w:r>
            <w:r w:rsidRPr="001823ED">
              <w:rPr>
                <w:rFonts w:cs="Calibri"/>
                <w:sz w:val="20"/>
                <w:szCs w:val="20"/>
              </w:rPr>
              <w:t>species</w:t>
            </w:r>
          </w:p>
        </w:tc>
        <w:tc>
          <w:tcPr>
            <w:tcW w:w="898" w:type="dxa"/>
            <w:shd w:val="clear" w:color="auto" w:fill="D9D9D9" w:themeFill="background1" w:themeFillShade="D9"/>
          </w:tcPr>
          <w:p w14:paraId="22456CDB" w14:textId="35AD0EBD" w:rsidR="00552C46" w:rsidRPr="001823ED" w:rsidRDefault="00552C46" w:rsidP="005136FD">
            <w:pPr>
              <w:widowControl w:val="0"/>
              <w:jc w:val="center"/>
              <w:rPr>
                <w:rFonts w:cs="Calibri"/>
                <w:sz w:val="20"/>
                <w:szCs w:val="20"/>
              </w:rPr>
            </w:pPr>
          </w:p>
        </w:tc>
        <w:tc>
          <w:tcPr>
            <w:tcW w:w="898" w:type="dxa"/>
            <w:shd w:val="clear" w:color="auto" w:fill="auto"/>
          </w:tcPr>
          <w:p w14:paraId="7CE621A8" w14:textId="772A0D12"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7" w:type="dxa"/>
            <w:shd w:val="clear" w:color="auto" w:fill="auto"/>
          </w:tcPr>
          <w:p w14:paraId="23A63194" w14:textId="07C812A6"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c>
          <w:tcPr>
            <w:tcW w:w="898" w:type="dxa"/>
            <w:shd w:val="clear" w:color="auto" w:fill="D9D9D9" w:themeFill="background1" w:themeFillShade="D9"/>
          </w:tcPr>
          <w:p w14:paraId="39C8C4DF" w14:textId="01DA48E2" w:rsidR="00552C46" w:rsidRPr="001823ED" w:rsidRDefault="00552C46" w:rsidP="005136FD">
            <w:pPr>
              <w:widowControl w:val="0"/>
              <w:jc w:val="center"/>
              <w:rPr>
                <w:rFonts w:cs="Calibri"/>
                <w:sz w:val="20"/>
                <w:szCs w:val="20"/>
              </w:rPr>
            </w:pPr>
          </w:p>
        </w:tc>
        <w:tc>
          <w:tcPr>
            <w:tcW w:w="898" w:type="dxa"/>
            <w:shd w:val="clear" w:color="auto" w:fill="auto"/>
          </w:tcPr>
          <w:p w14:paraId="66356B23" w14:textId="76034DD8" w:rsidR="00552C46" w:rsidRPr="001823ED" w:rsidRDefault="00552C46" w:rsidP="005136FD">
            <w:pPr>
              <w:widowControl w:val="0"/>
              <w:jc w:val="center"/>
              <w:rPr>
                <w:rFonts w:cs="Calibri"/>
                <w:sz w:val="20"/>
                <w:szCs w:val="20"/>
              </w:rPr>
            </w:pPr>
            <w:r w:rsidRPr="001823ED">
              <w:rPr>
                <w:rFonts w:cs="Arial"/>
                <w:b/>
                <w:bCs/>
                <w:sz w:val="20"/>
                <w:szCs w:val="20"/>
                <w:shd w:val="clear" w:color="auto" w:fill="FFFFFF"/>
              </w:rPr>
              <w:t>↑</w:t>
            </w:r>
          </w:p>
        </w:tc>
        <w:tc>
          <w:tcPr>
            <w:tcW w:w="898" w:type="dxa"/>
            <w:shd w:val="clear" w:color="auto" w:fill="D9D9D9" w:themeFill="background1" w:themeFillShade="D9"/>
          </w:tcPr>
          <w:p w14:paraId="2A5C0C89" w14:textId="33CFF467" w:rsidR="00552C46" w:rsidRPr="001823ED" w:rsidRDefault="00552C46" w:rsidP="005136FD">
            <w:pPr>
              <w:widowControl w:val="0"/>
              <w:jc w:val="center"/>
              <w:rPr>
                <w:rFonts w:cs="Calibri"/>
                <w:sz w:val="20"/>
                <w:szCs w:val="20"/>
              </w:rPr>
            </w:pPr>
          </w:p>
        </w:tc>
        <w:tc>
          <w:tcPr>
            <w:tcW w:w="897" w:type="dxa"/>
            <w:shd w:val="clear" w:color="auto" w:fill="auto"/>
          </w:tcPr>
          <w:p w14:paraId="2859B00C" w14:textId="540BD371" w:rsidR="00552C46" w:rsidRPr="001823ED" w:rsidRDefault="00552C46" w:rsidP="005136FD">
            <w:pPr>
              <w:widowControl w:val="0"/>
              <w:jc w:val="center"/>
              <w:rPr>
                <w:rFonts w:cs="Calibri"/>
                <w:sz w:val="20"/>
                <w:szCs w:val="20"/>
              </w:rPr>
            </w:pPr>
            <w:r w:rsidRPr="001823ED">
              <w:rPr>
                <w:rFonts w:cs="Calibri"/>
                <w:sz w:val="20"/>
                <w:szCs w:val="20"/>
              </w:rPr>
              <w:sym w:font="Symbol" w:char="F0DB"/>
            </w:r>
          </w:p>
        </w:tc>
      </w:tr>
    </w:tbl>
    <w:p w14:paraId="1662D848" w14:textId="7DB3645E" w:rsidR="00CF550D" w:rsidRPr="00085C3F" w:rsidRDefault="005136FD">
      <w:pPr>
        <w:rPr>
          <w:noProof/>
          <w:sz w:val="16"/>
          <w:szCs w:val="16"/>
        </w:rPr>
      </w:pPr>
      <w:r w:rsidRPr="00085C3F">
        <w:rPr>
          <w:noProof/>
          <w:sz w:val="16"/>
          <w:szCs w:val="16"/>
        </w:rPr>
        <w:t>Abbreviations as per part 2 of table</w:t>
      </w:r>
      <w:r w:rsidR="00CF550D" w:rsidRPr="00085C3F">
        <w:rPr>
          <w:noProof/>
          <w:sz w:val="16"/>
          <w:szCs w:val="16"/>
        </w:rPr>
        <w:br w:type="page"/>
      </w:r>
    </w:p>
    <w:p w14:paraId="3294C041" w14:textId="0A8B204D" w:rsidR="00BC78EF" w:rsidRPr="001823ED" w:rsidRDefault="00A35045" w:rsidP="009D21B5">
      <w:pPr>
        <w:widowControl w:val="0"/>
        <w:rPr>
          <w:b/>
          <w:noProof/>
        </w:rPr>
      </w:pPr>
      <w:r w:rsidRPr="001823ED">
        <w:rPr>
          <w:b/>
          <w:noProof/>
        </w:rPr>
        <w:lastRenderedPageBreak/>
        <w:t>Table A2</w:t>
      </w:r>
      <w:r w:rsidR="00BC78EF" w:rsidRPr="001823ED">
        <w:rPr>
          <w:b/>
          <w:noProof/>
        </w:rPr>
        <w:t>: Additional participant characteristics by pregnancy risk group and outcome</w:t>
      </w:r>
    </w:p>
    <w:p w14:paraId="10B5E374" w14:textId="77777777" w:rsidR="00BC78EF" w:rsidRPr="001823ED" w:rsidRDefault="00BC78EF" w:rsidP="009D21B5">
      <w:pPr>
        <w:widowControl w:val="0"/>
        <w:rPr>
          <w:noProof/>
        </w:rPr>
      </w:pPr>
    </w:p>
    <w:p w14:paraId="0BE49F19" w14:textId="7C2EE9BC" w:rsidR="00BC78EF" w:rsidRPr="001823ED" w:rsidRDefault="001A68D4" w:rsidP="009D21B5">
      <w:pPr>
        <w:widowControl w:val="0"/>
        <w:rPr>
          <w:noProof/>
        </w:rPr>
      </w:pPr>
      <w:r w:rsidRPr="001823ED">
        <w:rPr>
          <w:noProof/>
        </w:rPr>
      </w:r>
      <w:r w:rsidR="001A68D4" w:rsidRPr="001823ED">
        <w:rPr>
          <w:noProof/>
        </w:rPr>
        <w:object w:dxaOrig="16500" w:dyaOrig="4480" w14:anchorId="51E32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44.95pt;height:201.75pt;mso-width-percent:0;mso-height-percent:0;mso-width-percent:0;mso-height-percent:0" o:ole="">
            <v:imagedata r:id="rId15" o:title=""/>
          </v:shape>
          <o:OLEObject Type="Embed" ProgID="Excel.Sheet.12" ShapeID="_x0000_i1028" DrawAspect="Content" ObjectID="_1685477018" r:id="rId16"/>
        </w:object>
      </w:r>
      <w:r w:rsidR="00BC78EF" w:rsidRPr="001823ED">
        <w:rPr>
          <w:noProof/>
        </w:rPr>
        <w:t xml:space="preserve">   </w:t>
      </w:r>
    </w:p>
    <w:p w14:paraId="6A3CCE11" w14:textId="77777777" w:rsidR="001823ED" w:rsidRPr="001823ED" w:rsidRDefault="00BC78EF" w:rsidP="009D21B5">
      <w:pPr>
        <w:widowControl w:val="0"/>
        <w:rPr>
          <w:noProof/>
          <w:sz w:val="18"/>
          <w:szCs w:val="18"/>
        </w:rPr>
      </w:pPr>
      <w:r w:rsidRPr="001823ED">
        <w:rPr>
          <w:noProof/>
          <w:sz w:val="18"/>
          <w:szCs w:val="18"/>
          <w:u w:val="single"/>
        </w:rPr>
        <w:t>Abbreviations</w:t>
      </w:r>
      <w:r w:rsidRPr="001823ED">
        <w:rPr>
          <w:noProof/>
          <w:sz w:val="18"/>
          <w:szCs w:val="18"/>
        </w:rPr>
        <w:t xml:space="preserve">: </w:t>
      </w:r>
      <w:r w:rsidR="001823ED" w:rsidRPr="001823ED">
        <w:rPr>
          <w:noProof/>
          <w:sz w:val="18"/>
          <w:szCs w:val="18"/>
        </w:rPr>
        <w:t xml:space="preserve">LR, low-risk pregnancy; HR, high-risk pregnancy; PPROM, preterm prelabour rupture of membranes; </w:t>
      </w:r>
      <w:r w:rsidRPr="001823ED">
        <w:rPr>
          <w:noProof/>
          <w:sz w:val="18"/>
          <w:szCs w:val="18"/>
        </w:rPr>
        <w:t>sPTB, spontaneous preterm birt</w:t>
      </w:r>
      <w:r w:rsidR="001823ED" w:rsidRPr="001823ED">
        <w:rPr>
          <w:noProof/>
          <w:sz w:val="18"/>
          <w:szCs w:val="18"/>
        </w:rPr>
        <w:t xml:space="preserve">h. </w:t>
      </w:r>
    </w:p>
    <w:p w14:paraId="7DB38447" w14:textId="19B7B958" w:rsidR="001823ED" w:rsidRPr="001823ED" w:rsidRDefault="001823ED" w:rsidP="009D21B5">
      <w:pPr>
        <w:widowControl w:val="0"/>
        <w:rPr>
          <w:noProof/>
          <w:sz w:val="18"/>
          <w:szCs w:val="18"/>
        </w:rPr>
      </w:pPr>
      <w:r w:rsidRPr="001823ED">
        <w:rPr>
          <w:noProof/>
          <w:sz w:val="18"/>
          <w:szCs w:val="18"/>
        </w:rPr>
        <w:t xml:space="preserve">*P-values </w:t>
      </w:r>
      <w:r w:rsidR="00BC78EF" w:rsidRPr="001823ED">
        <w:rPr>
          <w:noProof/>
          <w:sz w:val="18"/>
          <w:szCs w:val="18"/>
        </w:rPr>
        <w:t xml:space="preserve">by Fisher’s exact test. </w:t>
      </w:r>
    </w:p>
    <w:p w14:paraId="5606DF49" w14:textId="18FC329D" w:rsidR="00812814" w:rsidRPr="001823ED" w:rsidRDefault="001823ED" w:rsidP="009D21B5">
      <w:pPr>
        <w:widowControl w:val="0"/>
        <w:rPr>
          <w:noProof/>
          <w:sz w:val="18"/>
          <w:szCs w:val="18"/>
        </w:rPr>
      </w:pPr>
      <w:r w:rsidRPr="001823ED">
        <w:rPr>
          <w:noProof/>
          <w:sz w:val="18"/>
          <w:szCs w:val="18"/>
        </w:rPr>
        <w:t>¶</w:t>
      </w:r>
      <w:r w:rsidRPr="001823ED">
        <w:rPr>
          <w:sz w:val="18"/>
          <w:szCs w:val="18"/>
        </w:rPr>
        <w:t>The i</w:t>
      </w:r>
      <w:r w:rsidR="00812814" w:rsidRPr="001823ED">
        <w:rPr>
          <w:sz w:val="18"/>
          <w:szCs w:val="18"/>
        </w:rPr>
        <w:t>nd</w:t>
      </w:r>
      <w:r w:rsidRPr="001823ED">
        <w:rPr>
          <w:sz w:val="18"/>
          <w:szCs w:val="18"/>
        </w:rPr>
        <w:t xml:space="preserve">ex of multiple deprivation </w:t>
      </w:r>
      <w:r w:rsidR="00812814" w:rsidRPr="001823ED">
        <w:rPr>
          <w:sz w:val="18"/>
          <w:szCs w:val="18"/>
        </w:rPr>
        <w:t>was obtained using the woman’s home postcode on the UK government website.</w:t>
      </w:r>
      <w:r w:rsidR="00812814" w:rsidRPr="001823ED">
        <w:rPr>
          <w:sz w:val="18"/>
          <w:szCs w:val="18"/>
        </w:rPr>
        <w:fldChar w:fldCharType="begin" w:fldLock="1"/>
      </w:r>
      <w:r w:rsidR="005136FD">
        <w:rPr>
          <w:sz w:val="18"/>
          <w:szCs w:val="18"/>
        </w:rPr>
        <w:instrText>ADDIN CSL_CITATION {"citationItems":[{"id":"ITEM-1","itemData":{"URL":"http://imd-by-postcode.opendatacommunities.org/imd/2015","accessed":{"date-parts":[["2019","4","4"]]},"author":[{"dropping-particle":"","family":"Ministry of Housing Communities &amp; Local Government","given":"","non-dropping-particle":"","parse-names":false,"suffix":""}],"id":"ITEM-1","issued":{"date-parts":[["2015"]]},"title":"English indices of deprivation 2015","type":"webpage"},"uris":["http://www.mendeley.com/documents/?uuid=f778befe-1b28-4383-a73e-0d03cacba0b6"]}],"mendeley":{"formattedCitation":"&lt;sup&gt;38&lt;/sup&gt;","plainTextFormattedCitation":"38","previouslyFormattedCitation":"&lt;sup&gt;39&lt;/sup&gt;"},"properties":{"noteIndex":0},"schema":"https://github.com/citation-style-language/schema/raw/master/csl-citation.json"}</w:instrText>
      </w:r>
      <w:r w:rsidR="00812814" w:rsidRPr="001823ED">
        <w:rPr>
          <w:sz w:val="18"/>
          <w:szCs w:val="18"/>
        </w:rPr>
        <w:fldChar w:fldCharType="separate"/>
      </w:r>
      <w:r w:rsidR="005136FD" w:rsidRPr="005136FD">
        <w:rPr>
          <w:noProof/>
          <w:sz w:val="18"/>
          <w:szCs w:val="18"/>
          <w:vertAlign w:val="superscript"/>
        </w:rPr>
        <w:t>38</w:t>
      </w:r>
      <w:r w:rsidR="00812814" w:rsidRPr="001823ED">
        <w:rPr>
          <w:sz w:val="18"/>
          <w:szCs w:val="18"/>
        </w:rPr>
        <w:fldChar w:fldCharType="end"/>
      </w:r>
      <w:r w:rsidRPr="001823ED">
        <w:rPr>
          <w:sz w:val="18"/>
          <w:szCs w:val="18"/>
        </w:rPr>
        <w:t xml:space="preserve"> The index </w:t>
      </w:r>
      <w:r w:rsidR="00812814" w:rsidRPr="001823ED">
        <w:rPr>
          <w:sz w:val="18"/>
          <w:szCs w:val="18"/>
        </w:rPr>
        <w:t>ranks every neighbourhood in England from 1 (most deprived) to 32844 (least deprived).</w:t>
      </w:r>
      <w:r w:rsidR="00812814" w:rsidRPr="001823ED">
        <w:rPr>
          <w:sz w:val="18"/>
          <w:szCs w:val="18"/>
        </w:rPr>
        <w:fldChar w:fldCharType="begin" w:fldLock="1"/>
      </w:r>
      <w:r w:rsidR="005136FD">
        <w:rPr>
          <w:sz w:val="18"/>
          <w:szCs w:val="18"/>
        </w:rPr>
        <w:instrText>ADDIN CSL_CITATION {"citationItems":[{"id":"ITEM-1","itemData":{"URL":"https://assets.publishing.service.gov.uk/government/uploads/system/uploads/attachment_data/file/464430/English_Index_of_Multiple_Deprivation_2015_-_Guidance.pdf","accessed":{"date-parts":[["2019","4","4"]]},"author":[{"dropping-particle":"","family":"Department for Communities and Local Government","given":"","non-dropping-particle":"","parse-names":false,"suffix":""}],"id":"ITEM-1","issued":{"date-parts":[["2015"]]},"title":"The English Index of Multiple Deprivation (IMD) 2015- Guidance","type":"webpage"},"uris":["http://www.mendeley.com/documents/?uuid=84f635d7-7cec-4fd6-8c0b-16a92844a340"]}],"mendeley":{"formattedCitation":"&lt;sup&gt;39&lt;/sup&gt;","plainTextFormattedCitation":"39","previouslyFormattedCitation":"&lt;sup&gt;40&lt;/sup&gt;"},"properties":{"noteIndex":0},"schema":"https://github.com/citation-style-language/schema/raw/master/csl-citation.json"}</w:instrText>
      </w:r>
      <w:r w:rsidR="00812814" w:rsidRPr="001823ED">
        <w:rPr>
          <w:sz w:val="18"/>
          <w:szCs w:val="18"/>
        </w:rPr>
        <w:fldChar w:fldCharType="separate"/>
      </w:r>
      <w:r w:rsidR="005136FD" w:rsidRPr="005136FD">
        <w:rPr>
          <w:noProof/>
          <w:sz w:val="18"/>
          <w:szCs w:val="18"/>
          <w:vertAlign w:val="superscript"/>
        </w:rPr>
        <w:t>39</w:t>
      </w:r>
      <w:r w:rsidR="00812814" w:rsidRPr="001823ED">
        <w:rPr>
          <w:sz w:val="18"/>
          <w:szCs w:val="18"/>
        </w:rPr>
        <w:fldChar w:fldCharType="end"/>
      </w:r>
      <w:r w:rsidRPr="001823ED">
        <w:rPr>
          <w:sz w:val="18"/>
          <w:szCs w:val="18"/>
        </w:rPr>
        <w:t xml:space="preserve"> It </w:t>
      </w:r>
      <w:r w:rsidR="00812814" w:rsidRPr="001823ED">
        <w:rPr>
          <w:sz w:val="18"/>
          <w:szCs w:val="18"/>
        </w:rPr>
        <w:t xml:space="preserve">is a collective score summarising income deprivation, employment deprivation, health deprivation and disability, education skills and training deprivation, barriers to housing and services, living environment deprivation, and crime. </w:t>
      </w:r>
    </w:p>
    <w:p w14:paraId="393D7292" w14:textId="77777777" w:rsidR="00812814" w:rsidRPr="001823ED" w:rsidRDefault="00812814" w:rsidP="009D21B5">
      <w:pPr>
        <w:widowControl w:val="0"/>
        <w:rPr>
          <w:noProof/>
          <w:color w:val="FFFFFF" w:themeColor="background1"/>
          <w14:textFill>
            <w14:noFill/>
          </w14:textFill>
        </w:rPr>
        <w:sectPr w:rsidR="00812814" w:rsidRPr="001823ED" w:rsidSect="007528DE">
          <w:pgSz w:w="16838" w:h="11906" w:orient="landscape" w:code="9"/>
          <w:pgMar w:top="851" w:right="1134" w:bottom="851" w:left="1134" w:header="720" w:footer="720" w:gutter="0"/>
          <w:cols w:space="720"/>
          <w:titlePg/>
          <w:docGrid w:linePitch="360"/>
        </w:sectPr>
      </w:pPr>
    </w:p>
    <w:p w14:paraId="2793EA69" w14:textId="490C9C1B" w:rsidR="009F64E8" w:rsidRDefault="009F64E8" w:rsidP="009D21B5">
      <w:pPr>
        <w:widowControl w:val="0"/>
        <w:rPr>
          <w:b/>
          <w:noProof/>
        </w:rPr>
      </w:pPr>
      <w:r w:rsidRPr="001823ED">
        <w:rPr>
          <w:b/>
          <w:noProof/>
        </w:rPr>
        <w:lastRenderedPageBreak/>
        <w:t>Table A</w:t>
      </w:r>
      <w:r w:rsidR="00A35045" w:rsidRPr="001823ED">
        <w:rPr>
          <w:b/>
          <w:noProof/>
        </w:rPr>
        <w:t>3</w:t>
      </w:r>
      <w:r w:rsidRPr="001823ED">
        <w:rPr>
          <w:b/>
          <w:noProof/>
        </w:rPr>
        <w:t xml:space="preserve">: </w:t>
      </w:r>
      <w:r w:rsidR="00E002F8" w:rsidRPr="001823ED">
        <w:rPr>
          <w:b/>
          <w:noProof/>
        </w:rPr>
        <w:t>Relative abundances of bacterial groups and taxa of interest by pregnancy risk cohort and outcome</w:t>
      </w:r>
    </w:p>
    <w:p w14:paraId="03CD9C97" w14:textId="77777777" w:rsidR="001823ED" w:rsidRPr="001823ED" w:rsidRDefault="001823ED" w:rsidP="009D21B5">
      <w:pPr>
        <w:widowControl w:val="0"/>
        <w:rPr>
          <w:b/>
          <w:noProof/>
        </w:rPr>
      </w:pPr>
    </w:p>
    <w:p w14:paraId="34F87F3A" w14:textId="6D70EEDE" w:rsidR="002F109A" w:rsidRPr="001823ED" w:rsidRDefault="001A68D4" w:rsidP="009D21B5">
      <w:pPr>
        <w:widowControl w:val="0"/>
        <w:rPr>
          <w:noProof/>
        </w:rPr>
      </w:pPr>
      <w:r w:rsidRPr="001823ED">
        <w:rPr>
          <w:noProof/>
        </w:rPr>
      </w:r>
      <w:r w:rsidR="001A68D4" w:rsidRPr="001823ED">
        <w:rPr>
          <w:noProof/>
        </w:rPr>
        <w:object w:dxaOrig="18576" w:dyaOrig="9100" w14:anchorId="7CE2FE7B">
          <v:shape id="_x0000_i1027" type="#_x0000_t75" alt="" style="width:751.35pt;height:368.55pt;mso-width-percent:0;mso-height-percent:0;mso-width-percent:0;mso-height-percent:0" o:ole="">
            <v:imagedata r:id="rId17" o:title=""/>
          </v:shape>
          <o:OLEObject Type="Embed" ProgID="Excel.Sheet.12" ShapeID="_x0000_i1027" DrawAspect="Content" ObjectID="_1685477019" r:id="rId18"/>
        </w:object>
      </w:r>
    </w:p>
    <w:p w14:paraId="34D2AA58" w14:textId="122CDCC5" w:rsidR="001823ED" w:rsidRDefault="00315711" w:rsidP="009D21B5">
      <w:pPr>
        <w:pStyle w:val="Caption"/>
        <w:widowControl w:val="0"/>
        <w:spacing w:after="0"/>
        <w:rPr>
          <w:rFonts w:asciiTheme="minorHAnsi" w:hAnsiTheme="minorHAnsi"/>
          <w:i w:val="0"/>
          <w:iCs w:val="0"/>
          <w:color w:val="auto"/>
          <w:sz w:val="16"/>
          <w:szCs w:val="16"/>
        </w:rPr>
      </w:pPr>
      <w:r w:rsidRPr="001823ED">
        <w:rPr>
          <w:rFonts w:asciiTheme="minorHAnsi" w:hAnsiTheme="minorHAnsi"/>
          <w:i w:val="0"/>
          <w:iCs w:val="0"/>
          <w:color w:val="auto"/>
          <w:sz w:val="16"/>
          <w:szCs w:val="16"/>
          <w:u w:val="single"/>
        </w:rPr>
        <w:t>Abbreviations</w:t>
      </w:r>
      <w:r w:rsidRPr="001823ED">
        <w:rPr>
          <w:rFonts w:asciiTheme="minorHAnsi" w:hAnsiTheme="minorHAnsi"/>
          <w:i w:val="0"/>
          <w:iCs w:val="0"/>
          <w:color w:val="auto"/>
          <w:sz w:val="16"/>
          <w:szCs w:val="16"/>
        </w:rPr>
        <w:t>:</w:t>
      </w:r>
      <w:r w:rsidR="001823ED" w:rsidRPr="001823ED">
        <w:rPr>
          <w:rFonts w:asciiTheme="minorHAnsi" w:hAnsiTheme="minorHAnsi"/>
          <w:i w:val="0"/>
          <w:iCs w:val="0"/>
          <w:color w:val="auto"/>
          <w:sz w:val="16"/>
          <w:szCs w:val="16"/>
        </w:rPr>
        <w:t xml:space="preserve"> </w:t>
      </w:r>
      <w:r w:rsidR="001823ED">
        <w:rPr>
          <w:rFonts w:asciiTheme="minorHAnsi" w:hAnsiTheme="minorHAnsi"/>
          <w:i w:val="0"/>
          <w:iCs w:val="0"/>
          <w:color w:val="auto"/>
          <w:sz w:val="16"/>
          <w:szCs w:val="16"/>
        </w:rPr>
        <w:t>LR, low-risk pregnancy;</w:t>
      </w:r>
      <w:r w:rsidR="001823ED" w:rsidRPr="001823ED">
        <w:rPr>
          <w:rFonts w:asciiTheme="minorHAnsi" w:hAnsiTheme="minorHAnsi"/>
          <w:i w:val="0"/>
          <w:iCs w:val="0"/>
          <w:color w:val="auto"/>
          <w:sz w:val="16"/>
          <w:szCs w:val="16"/>
        </w:rPr>
        <w:t xml:space="preserve"> HR, high-risk pregnancy</w:t>
      </w:r>
      <w:r w:rsidR="001823ED">
        <w:rPr>
          <w:rFonts w:asciiTheme="minorHAnsi" w:hAnsiTheme="minorHAnsi"/>
          <w:i w:val="0"/>
          <w:iCs w:val="0"/>
          <w:color w:val="auto"/>
          <w:sz w:val="16"/>
          <w:szCs w:val="16"/>
        </w:rPr>
        <w:t xml:space="preserve">; </w:t>
      </w:r>
      <w:r w:rsidR="001823ED" w:rsidRPr="001823ED">
        <w:rPr>
          <w:rFonts w:asciiTheme="minorHAnsi" w:hAnsiTheme="minorHAnsi"/>
          <w:i w:val="0"/>
          <w:iCs w:val="0"/>
          <w:color w:val="auto"/>
          <w:sz w:val="16"/>
          <w:szCs w:val="16"/>
        </w:rPr>
        <w:t>PPROM</w:t>
      </w:r>
      <w:r w:rsidR="001823ED">
        <w:rPr>
          <w:rFonts w:asciiTheme="minorHAnsi" w:hAnsiTheme="minorHAnsi"/>
          <w:i w:val="0"/>
          <w:iCs w:val="0"/>
          <w:color w:val="auto"/>
          <w:sz w:val="16"/>
          <w:szCs w:val="16"/>
        </w:rPr>
        <w:t>,</w:t>
      </w:r>
      <w:r w:rsidR="001823ED" w:rsidRPr="001823ED">
        <w:rPr>
          <w:rFonts w:asciiTheme="minorHAnsi" w:hAnsiTheme="minorHAnsi"/>
          <w:i w:val="0"/>
          <w:iCs w:val="0"/>
          <w:color w:val="auto"/>
          <w:sz w:val="16"/>
          <w:szCs w:val="16"/>
        </w:rPr>
        <w:t xml:space="preserve"> preterm prelabour rupture of membranes</w:t>
      </w:r>
      <w:r w:rsidR="001823ED">
        <w:rPr>
          <w:rFonts w:asciiTheme="minorHAnsi" w:hAnsiTheme="minorHAnsi"/>
          <w:i w:val="0"/>
          <w:iCs w:val="0"/>
          <w:color w:val="auto"/>
          <w:sz w:val="16"/>
          <w:szCs w:val="16"/>
        </w:rPr>
        <w:t>; sPTB, spontaneous PTB</w:t>
      </w:r>
      <w:r w:rsidR="00ED785D" w:rsidRPr="001823ED">
        <w:rPr>
          <w:rFonts w:asciiTheme="minorHAnsi" w:hAnsiTheme="minorHAnsi"/>
          <w:i w:val="0"/>
          <w:iCs w:val="0"/>
          <w:color w:val="auto"/>
          <w:sz w:val="16"/>
          <w:szCs w:val="16"/>
        </w:rPr>
        <w:t xml:space="preserve">. </w:t>
      </w:r>
      <w:r w:rsidR="00EB5FC7" w:rsidRPr="001823ED">
        <w:rPr>
          <w:rFonts w:asciiTheme="minorHAnsi" w:hAnsiTheme="minorHAnsi"/>
          <w:i w:val="0"/>
          <w:iCs w:val="0"/>
          <w:color w:val="auto"/>
          <w:sz w:val="16"/>
          <w:szCs w:val="16"/>
        </w:rPr>
        <w:t xml:space="preserve">Grey box, </w:t>
      </w:r>
      <w:r w:rsidR="00775EE1" w:rsidRPr="001823ED">
        <w:rPr>
          <w:rFonts w:asciiTheme="minorHAnsi" w:hAnsiTheme="minorHAnsi"/>
          <w:i w:val="0"/>
          <w:iCs w:val="0"/>
          <w:color w:val="auto"/>
          <w:sz w:val="16"/>
          <w:szCs w:val="16"/>
        </w:rPr>
        <w:t>value not applicable due to no sample fitting this c</w:t>
      </w:r>
      <w:r w:rsidR="001F5BA1">
        <w:rPr>
          <w:rFonts w:asciiTheme="minorHAnsi" w:hAnsiTheme="minorHAnsi"/>
          <w:i w:val="0"/>
          <w:iCs w:val="0"/>
          <w:color w:val="auto"/>
          <w:sz w:val="16"/>
          <w:szCs w:val="16"/>
        </w:rPr>
        <w:t>riterion</w:t>
      </w:r>
      <w:r w:rsidR="00775EE1" w:rsidRPr="001823ED">
        <w:rPr>
          <w:rFonts w:asciiTheme="minorHAnsi" w:hAnsiTheme="minorHAnsi"/>
          <w:i w:val="0"/>
          <w:iCs w:val="0"/>
          <w:color w:val="auto"/>
          <w:sz w:val="16"/>
          <w:szCs w:val="16"/>
        </w:rPr>
        <w:t xml:space="preserve">. </w:t>
      </w:r>
    </w:p>
    <w:p w14:paraId="26F4F886" w14:textId="6F3CB0A0" w:rsidR="00502205" w:rsidRDefault="00502205" w:rsidP="009D21B5">
      <w:pPr>
        <w:pStyle w:val="Caption"/>
        <w:widowControl w:val="0"/>
        <w:spacing w:after="0"/>
        <w:rPr>
          <w:rFonts w:asciiTheme="minorHAnsi" w:hAnsiTheme="minorHAnsi"/>
          <w:i w:val="0"/>
          <w:iCs w:val="0"/>
          <w:color w:val="auto"/>
          <w:sz w:val="16"/>
          <w:szCs w:val="16"/>
        </w:rPr>
      </w:pPr>
      <w:r>
        <w:rPr>
          <w:rFonts w:asciiTheme="minorHAnsi" w:hAnsiTheme="minorHAnsi"/>
          <w:i w:val="0"/>
          <w:iCs w:val="0"/>
          <w:color w:val="auto"/>
          <w:sz w:val="16"/>
          <w:szCs w:val="16"/>
        </w:rPr>
        <w:t>*P values by Fisher’s exact test for presence/absence of bacterial group or taxa.</w:t>
      </w:r>
    </w:p>
    <w:p w14:paraId="3D2971CF" w14:textId="6EB64F3B" w:rsidR="00315711" w:rsidRPr="001823ED" w:rsidRDefault="00502205" w:rsidP="009D21B5">
      <w:pPr>
        <w:pStyle w:val="Caption"/>
        <w:widowControl w:val="0"/>
        <w:spacing w:after="0"/>
        <w:rPr>
          <w:rFonts w:asciiTheme="minorHAnsi" w:hAnsiTheme="minorHAnsi"/>
          <w:color w:val="auto"/>
          <w:lang w:eastAsia="en-GB"/>
        </w:rPr>
      </w:pPr>
      <w:r>
        <w:rPr>
          <w:rFonts w:asciiTheme="minorHAnsi" w:hAnsiTheme="minorHAnsi"/>
          <w:i w:val="0"/>
          <w:iCs w:val="0"/>
          <w:color w:val="auto"/>
          <w:sz w:val="16"/>
          <w:szCs w:val="16"/>
        </w:rPr>
        <w:t xml:space="preserve">¶P values by </w:t>
      </w:r>
      <w:r w:rsidR="00ED785D" w:rsidRPr="001823ED">
        <w:rPr>
          <w:rFonts w:asciiTheme="minorHAnsi" w:hAnsiTheme="minorHAnsi"/>
          <w:i w:val="0"/>
          <w:iCs w:val="0"/>
          <w:color w:val="auto"/>
          <w:sz w:val="16"/>
          <w:szCs w:val="16"/>
        </w:rPr>
        <w:t>Mann-Whitney U test for relative abundance</w:t>
      </w:r>
      <w:r w:rsidR="00384602" w:rsidRPr="001823ED">
        <w:rPr>
          <w:rFonts w:asciiTheme="minorHAnsi" w:hAnsiTheme="minorHAnsi"/>
          <w:i w:val="0"/>
          <w:iCs w:val="0"/>
          <w:color w:val="auto"/>
          <w:sz w:val="16"/>
          <w:szCs w:val="16"/>
        </w:rPr>
        <w:t xml:space="preserve">. Test of significance based on relative abundance includes all participants for </w:t>
      </w:r>
      <w:r w:rsidR="008F7681" w:rsidRPr="001823ED">
        <w:rPr>
          <w:rFonts w:asciiTheme="minorHAnsi" w:hAnsiTheme="minorHAnsi"/>
          <w:i w:val="0"/>
          <w:iCs w:val="0"/>
          <w:color w:val="auto"/>
          <w:sz w:val="16"/>
          <w:szCs w:val="16"/>
        </w:rPr>
        <w:t>relative abundance of bacterial groups and species of lactobacillus but is limited to only t</w:t>
      </w:r>
      <w:r w:rsidR="001F5BA1">
        <w:rPr>
          <w:rFonts w:asciiTheme="minorHAnsi" w:hAnsiTheme="minorHAnsi"/>
          <w:i w:val="0"/>
          <w:iCs w:val="0"/>
          <w:color w:val="auto"/>
          <w:sz w:val="16"/>
          <w:szCs w:val="16"/>
        </w:rPr>
        <w:t>hose participants with each taxon</w:t>
      </w:r>
      <w:r w:rsidR="008F7681" w:rsidRPr="001823ED">
        <w:rPr>
          <w:rFonts w:asciiTheme="minorHAnsi" w:hAnsiTheme="minorHAnsi"/>
          <w:i w:val="0"/>
          <w:iCs w:val="0"/>
          <w:color w:val="auto"/>
          <w:sz w:val="16"/>
          <w:szCs w:val="16"/>
        </w:rPr>
        <w:t xml:space="preserve"> present for the taxa of interest (to avoid skewing of data </w:t>
      </w:r>
      <w:r w:rsidR="00EB5FC7" w:rsidRPr="001823ED">
        <w:rPr>
          <w:rFonts w:asciiTheme="minorHAnsi" w:hAnsiTheme="minorHAnsi"/>
          <w:i w:val="0"/>
          <w:iCs w:val="0"/>
          <w:color w:val="auto"/>
          <w:sz w:val="16"/>
          <w:szCs w:val="16"/>
        </w:rPr>
        <w:t xml:space="preserve">in cases of rare taxa). </w:t>
      </w:r>
    </w:p>
    <w:p w14:paraId="48986786" w14:textId="788B8B10" w:rsidR="009F64E8" w:rsidRPr="001823ED" w:rsidRDefault="009F64E8" w:rsidP="009D21B5">
      <w:pPr>
        <w:widowControl w:val="0"/>
        <w:rPr>
          <w:i/>
          <w:iCs/>
          <w:noProof/>
        </w:rPr>
      </w:pPr>
    </w:p>
    <w:p w14:paraId="45DCD9F2" w14:textId="2509548E" w:rsidR="00D2603D" w:rsidRPr="001823ED" w:rsidRDefault="00D2603D" w:rsidP="009D21B5">
      <w:pPr>
        <w:widowControl w:val="0"/>
        <w:sectPr w:rsidR="00D2603D" w:rsidRPr="001823ED" w:rsidSect="00D2603D">
          <w:pgSz w:w="16838" w:h="11906" w:orient="landscape" w:code="9"/>
          <w:pgMar w:top="1417" w:right="1417" w:bottom="1417" w:left="1417" w:header="720" w:footer="720" w:gutter="0"/>
          <w:cols w:space="720"/>
          <w:titlePg/>
          <w:docGrid w:linePitch="360"/>
        </w:sectPr>
      </w:pPr>
    </w:p>
    <w:p w14:paraId="678BED9A" w14:textId="18BCF084" w:rsidR="00FF0950" w:rsidRPr="001823ED" w:rsidRDefault="00A35045" w:rsidP="009D21B5">
      <w:pPr>
        <w:widowControl w:val="0"/>
        <w:rPr>
          <w:b/>
        </w:rPr>
      </w:pPr>
      <w:r w:rsidRPr="001823ED">
        <w:rPr>
          <w:b/>
        </w:rPr>
        <w:lastRenderedPageBreak/>
        <w:t>Table A4</w:t>
      </w:r>
      <w:r w:rsidR="00D2603D" w:rsidRPr="001823ED">
        <w:rPr>
          <w:b/>
        </w:rPr>
        <w:t>: P-values for mean bacterial load comparisons between VMB types in high-risk women</w:t>
      </w:r>
    </w:p>
    <w:p w14:paraId="2D6FF81F" w14:textId="3B6348DE" w:rsidR="00D2603D" w:rsidRPr="001823ED" w:rsidRDefault="00D2603D" w:rsidP="009D21B5">
      <w:pPr>
        <w:widowControl w:val="0"/>
        <w:rPr>
          <w:b/>
        </w:rPr>
      </w:pPr>
    </w:p>
    <w:p w14:paraId="6AEF4A02" w14:textId="5643C4E8" w:rsidR="008E71F1" w:rsidRPr="001823ED" w:rsidRDefault="008E71F1" w:rsidP="009D21B5">
      <w:pPr>
        <w:widowControl w:val="0"/>
      </w:pPr>
      <w:r w:rsidRPr="001823ED">
        <w:t>The p-values (by Mann-Whitney U test) in the table below are for mean bacterial load comparisons between VMB types in high-risk women. The mean bacte</w:t>
      </w:r>
      <w:r w:rsidR="00502205">
        <w:t xml:space="preserve">rial loads for each VMB type are reported in Table 3 in the </w:t>
      </w:r>
      <w:r w:rsidRPr="001823ED">
        <w:t>manuscript.</w:t>
      </w:r>
    </w:p>
    <w:p w14:paraId="2CC3E0B1" w14:textId="77777777" w:rsidR="008E71F1" w:rsidRPr="001823ED" w:rsidRDefault="008E71F1" w:rsidP="009D21B5">
      <w:pPr>
        <w:widowControl w:val="0"/>
        <w:rPr>
          <w:b/>
        </w:rPr>
      </w:pPr>
    </w:p>
    <w:tbl>
      <w:tblPr>
        <w:tblW w:w="877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390"/>
        <w:gridCol w:w="850"/>
        <w:gridCol w:w="722"/>
        <w:gridCol w:w="850"/>
        <w:gridCol w:w="993"/>
        <w:gridCol w:w="969"/>
      </w:tblGrid>
      <w:tr w:rsidR="00F93A55" w:rsidRPr="001823ED" w14:paraId="6EA8A098" w14:textId="3A8E06F4" w:rsidTr="00F93A55">
        <w:trPr>
          <w:trHeight w:val="300"/>
        </w:trPr>
        <w:tc>
          <w:tcPr>
            <w:tcW w:w="4390" w:type="dxa"/>
            <w:tcBorders>
              <w:top w:val="single" w:sz="12" w:space="0" w:color="auto"/>
              <w:bottom w:val="single" w:sz="12" w:space="0" w:color="auto"/>
              <w:right w:val="single" w:sz="12" w:space="0" w:color="auto"/>
            </w:tcBorders>
            <w:shd w:val="clear" w:color="auto" w:fill="auto"/>
            <w:noWrap/>
            <w:vAlign w:val="bottom"/>
            <w:hideMark/>
          </w:tcPr>
          <w:p w14:paraId="0C706654" w14:textId="77777777" w:rsidR="00F93A55" w:rsidRPr="001823ED" w:rsidRDefault="00F93A55" w:rsidP="009D21B5">
            <w:pPr>
              <w:widowControl w:val="0"/>
              <w:rPr>
                <w:rFonts w:ascii="Calibri" w:hAnsi="Calibri" w:cs="Calibri"/>
                <w:color w:val="000000"/>
                <w:szCs w:val="22"/>
              </w:rPr>
            </w:pPr>
            <w:r w:rsidRPr="001823ED">
              <w:rPr>
                <w:rFonts w:ascii="Calibri" w:hAnsi="Calibri" w:cs="Calibri"/>
                <w:color w:val="000000"/>
                <w:szCs w:val="22"/>
              </w:rPr>
              <w:t> </w:t>
            </w:r>
          </w:p>
        </w:tc>
        <w:tc>
          <w:tcPr>
            <w:tcW w:w="850" w:type="dxa"/>
            <w:tcBorders>
              <w:top w:val="single" w:sz="12" w:space="0" w:color="auto"/>
              <w:left w:val="single" w:sz="12" w:space="0" w:color="auto"/>
              <w:bottom w:val="single" w:sz="12" w:space="0" w:color="auto"/>
            </w:tcBorders>
            <w:shd w:val="clear" w:color="auto" w:fill="auto"/>
            <w:noWrap/>
            <w:vAlign w:val="bottom"/>
            <w:hideMark/>
          </w:tcPr>
          <w:p w14:paraId="2C1A631D" w14:textId="4DEE4AF2" w:rsidR="00F93A55" w:rsidRPr="001823ED" w:rsidRDefault="00F93A55" w:rsidP="009D21B5">
            <w:pPr>
              <w:widowControl w:val="0"/>
              <w:jc w:val="center"/>
              <w:rPr>
                <w:rFonts w:ascii="Calibri" w:hAnsi="Calibri" w:cs="Calibri"/>
                <w:b/>
                <w:color w:val="000000"/>
                <w:szCs w:val="22"/>
              </w:rPr>
            </w:pPr>
            <w:r w:rsidRPr="001823ED">
              <w:rPr>
                <w:rFonts w:ascii="Calibri" w:hAnsi="Calibri" w:cs="Calibri"/>
                <w:b/>
                <w:color w:val="000000"/>
                <w:szCs w:val="22"/>
              </w:rPr>
              <w:t>N</w:t>
            </w:r>
          </w:p>
        </w:tc>
        <w:tc>
          <w:tcPr>
            <w:tcW w:w="722" w:type="dxa"/>
            <w:tcBorders>
              <w:top w:val="single" w:sz="12" w:space="0" w:color="auto"/>
              <w:bottom w:val="single" w:sz="12" w:space="0" w:color="auto"/>
            </w:tcBorders>
            <w:shd w:val="clear" w:color="auto" w:fill="auto"/>
            <w:vAlign w:val="bottom"/>
          </w:tcPr>
          <w:p w14:paraId="4F125F69" w14:textId="060B40F9" w:rsidR="00F93A55" w:rsidRPr="001823ED" w:rsidRDefault="00F93A55" w:rsidP="009D21B5">
            <w:pPr>
              <w:widowControl w:val="0"/>
              <w:jc w:val="center"/>
              <w:rPr>
                <w:rFonts w:ascii="Calibri" w:hAnsi="Calibri" w:cs="Calibri"/>
                <w:b/>
                <w:color w:val="000000"/>
                <w:szCs w:val="22"/>
              </w:rPr>
            </w:pPr>
            <w:proofErr w:type="spellStart"/>
            <w:r w:rsidRPr="001823ED">
              <w:rPr>
                <w:rFonts w:ascii="Calibri" w:hAnsi="Calibri" w:cs="Calibri"/>
                <w:b/>
                <w:color w:val="000000"/>
                <w:szCs w:val="22"/>
              </w:rPr>
              <w:t>Lcr</w:t>
            </w:r>
            <w:proofErr w:type="spellEnd"/>
          </w:p>
        </w:tc>
        <w:tc>
          <w:tcPr>
            <w:tcW w:w="850" w:type="dxa"/>
            <w:tcBorders>
              <w:top w:val="single" w:sz="12" w:space="0" w:color="auto"/>
              <w:bottom w:val="single" w:sz="12" w:space="0" w:color="auto"/>
            </w:tcBorders>
            <w:shd w:val="clear" w:color="auto" w:fill="auto"/>
            <w:noWrap/>
            <w:vAlign w:val="bottom"/>
            <w:hideMark/>
          </w:tcPr>
          <w:p w14:paraId="0EE31025" w14:textId="77777777" w:rsidR="00F93A55" w:rsidRPr="001823ED" w:rsidRDefault="00F93A55" w:rsidP="009D21B5">
            <w:pPr>
              <w:widowControl w:val="0"/>
              <w:jc w:val="center"/>
              <w:rPr>
                <w:rFonts w:ascii="Calibri" w:hAnsi="Calibri" w:cs="Calibri"/>
                <w:b/>
                <w:color w:val="000000"/>
                <w:szCs w:val="22"/>
              </w:rPr>
            </w:pPr>
            <w:r w:rsidRPr="001823ED">
              <w:rPr>
                <w:rFonts w:ascii="Calibri" w:hAnsi="Calibri" w:cs="Calibri"/>
                <w:b/>
                <w:color w:val="000000"/>
                <w:szCs w:val="22"/>
              </w:rPr>
              <w:t>Li</w:t>
            </w:r>
          </w:p>
        </w:tc>
        <w:tc>
          <w:tcPr>
            <w:tcW w:w="993" w:type="dxa"/>
            <w:tcBorders>
              <w:top w:val="single" w:sz="12" w:space="0" w:color="auto"/>
              <w:bottom w:val="single" w:sz="12" w:space="0" w:color="auto"/>
            </w:tcBorders>
            <w:shd w:val="clear" w:color="auto" w:fill="auto"/>
            <w:noWrap/>
            <w:vAlign w:val="bottom"/>
            <w:hideMark/>
          </w:tcPr>
          <w:p w14:paraId="6B2467A2" w14:textId="77777777" w:rsidR="00F93A55" w:rsidRPr="001823ED" w:rsidRDefault="00F93A55" w:rsidP="009D21B5">
            <w:pPr>
              <w:widowControl w:val="0"/>
              <w:jc w:val="center"/>
              <w:rPr>
                <w:rFonts w:ascii="Calibri" w:hAnsi="Calibri" w:cs="Calibri"/>
                <w:b/>
                <w:color w:val="000000"/>
                <w:szCs w:val="22"/>
              </w:rPr>
            </w:pPr>
            <w:proofErr w:type="spellStart"/>
            <w:r w:rsidRPr="001823ED">
              <w:rPr>
                <w:rFonts w:ascii="Calibri" w:hAnsi="Calibri" w:cs="Calibri"/>
                <w:b/>
                <w:color w:val="000000"/>
                <w:szCs w:val="22"/>
              </w:rPr>
              <w:t>Lo+BL</w:t>
            </w:r>
            <w:proofErr w:type="spellEnd"/>
          </w:p>
        </w:tc>
        <w:tc>
          <w:tcPr>
            <w:tcW w:w="969" w:type="dxa"/>
            <w:tcBorders>
              <w:top w:val="single" w:sz="12" w:space="0" w:color="auto"/>
              <w:bottom w:val="single" w:sz="12" w:space="0" w:color="auto"/>
            </w:tcBorders>
          </w:tcPr>
          <w:p w14:paraId="75ADA42A" w14:textId="15879C6C" w:rsidR="00F93A55" w:rsidRPr="001823ED" w:rsidRDefault="00F93A55" w:rsidP="009D21B5">
            <w:pPr>
              <w:widowControl w:val="0"/>
              <w:jc w:val="center"/>
              <w:rPr>
                <w:rFonts w:ascii="Calibri" w:hAnsi="Calibri" w:cs="Calibri"/>
                <w:b/>
                <w:color w:val="000000"/>
                <w:szCs w:val="22"/>
              </w:rPr>
            </w:pPr>
            <w:r>
              <w:rPr>
                <w:rFonts w:ascii="Calibri" w:hAnsi="Calibri" w:cs="Calibri"/>
                <w:b/>
                <w:color w:val="000000"/>
                <w:szCs w:val="22"/>
              </w:rPr>
              <w:t>LA+BV</w:t>
            </w:r>
          </w:p>
        </w:tc>
      </w:tr>
      <w:tr w:rsidR="00F93A55" w:rsidRPr="001823ED" w14:paraId="45C844CE" w14:textId="217FE42F" w:rsidTr="00F93A55">
        <w:trPr>
          <w:trHeight w:val="300"/>
        </w:trPr>
        <w:tc>
          <w:tcPr>
            <w:tcW w:w="4390" w:type="dxa"/>
            <w:tcBorders>
              <w:top w:val="single" w:sz="12" w:space="0" w:color="auto"/>
              <w:right w:val="single" w:sz="12" w:space="0" w:color="auto"/>
            </w:tcBorders>
            <w:shd w:val="clear" w:color="auto" w:fill="auto"/>
            <w:noWrap/>
            <w:vAlign w:val="bottom"/>
            <w:hideMark/>
          </w:tcPr>
          <w:p w14:paraId="5625D30A" w14:textId="5FD0F991" w:rsidR="00F93A55" w:rsidRPr="001823ED" w:rsidRDefault="00F93A55" w:rsidP="009D21B5">
            <w:pPr>
              <w:widowControl w:val="0"/>
              <w:rPr>
                <w:rFonts w:ascii="Calibri" w:hAnsi="Calibri" w:cs="Calibri"/>
                <w:b/>
                <w:color w:val="000000"/>
                <w:szCs w:val="22"/>
              </w:rPr>
            </w:pPr>
            <w:r w:rsidRPr="001823ED">
              <w:rPr>
                <w:rFonts w:ascii="Calibri" w:hAnsi="Calibri" w:cs="Calibri"/>
                <w:b/>
                <w:i/>
                <w:color w:val="000000"/>
                <w:szCs w:val="22"/>
              </w:rPr>
              <w:t xml:space="preserve">L. </w:t>
            </w:r>
            <w:proofErr w:type="spellStart"/>
            <w:r w:rsidRPr="001823ED">
              <w:rPr>
                <w:rFonts w:ascii="Calibri" w:hAnsi="Calibri" w:cs="Calibri"/>
                <w:b/>
                <w:i/>
                <w:color w:val="000000"/>
                <w:szCs w:val="22"/>
              </w:rPr>
              <w:t>crispatus</w:t>
            </w:r>
            <w:proofErr w:type="spellEnd"/>
            <w:r w:rsidRPr="001823ED">
              <w:rPr>
                <w:rFonts w:ascii="Calibri" w:hAnsi="Calibri" w:cs="Calibri"/>
                <w:b/>
                <w:color w:val="000000"/>
                <w:szCs w:val="22"/>
              </w:rPr>
              <w:t>-dominated (</w:t>
            </w:r>
            <w:proofErr w:type="spellStart"/>
            <w:r w:rsidRPr="001823ED">
              <w:rPr>
                <w:rFonts w:ascii="Calibri" w:hAnsi="Calibri" w:cs="Calibri"/>
                <w:b/>
                <w:color w:val="000000"/>
                <w:szCs w:val="22"/>
              </w:rPr>
              <w:t>Lcr</w:t>
            </w:r>
            <w:proofErr w:type="spellEnd"/>
            <w:r w:rsidRPr="001823ED">
              <w:rPr>
                <w:rFonts w:ascii="Calibri" w:hAnsi="Calibri" w:cs="Calibri"/>
                <w:b/>
                <w:color w:val="000000"/>
                <w:szCs w:val="22"/>
              </w:rPr>
              <w:t>)</w:t>
            </w:r>
          </w:p>
        </w:tc>
        <w:tc>
          <w:tcPr>
            <w:tcW w:w="850" w:type="dxa"/>
            <w:tcBorders>
              <w:top w:val="single" w:sz="12" w:space="0" w:color="auto"/>
              <w:left w:val="single" w:sz="12" w:space="0" w:color="auto"/>
            </w:tcBorders>
            <w:shd w:val="clear" w:color="auto" w:fill="auto"/>
            <w:noWrap/>
            <w:vAlign w:val="bottom"/>
            <w:hideMark/>
          </w:tcPr>
          <w:p w14:paraId="757D9F35" w14:textId="7CBDDCEC"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23</w:t>
            </w:r>
          </w:p>
        </w:tc>
        <w:tc>
          <w:tcPr>
            <w:tcW w:w="722" w:type="dxa"/>
            <w:tcBorders>
              <w:top w:val="single" w:sz="12" w:space="0" w:color="auto"/>
            </w:tcBorders>
            <w:shd w:val="clear" w:color="000000" w:fill="E7E6E6"/>
            <w:vAlign w:val="bottom"/>
          </w:tcPr>
          <w:p w14:paraId="041E0F29" w14:textId="119AAA22" w:rsidR="00F93A55" w:rsidRPr="001823ED" w:rsidRDefault="00F93A55" w:rsidP="009D21B5">
            <w:pPr>
              <w:widowControl w:val="0"/>
              <w:jc w:val="center"/>
              <w:rPr>
                <w:rFonts w:ascii="Calibri" w:hAnsi="Calibri" w:cs="Calibri"/>
                <w:color w:val="000000"/>
                <w:szCs w:val="22"/>
              </w:rPr>
            </w:pPr>
          </w:p>
        </w:tc>
        <w:tc>
          <w:tcPr>
            <w:tcW w:w="850" w:type="dxa"/>
            <w:tcBorders>
              <w:top w:val="single" w:sz="12" w:space="0" w:color="auto"/>
            </w:tcBorders>
            <w:shd w:val="clear" w:color="auto" w:fill="auto"/>
            <w:noWrap/>
            <w:vAlign w:val="bottom"/>
            <w:hideMark/>
          </w:tcPr>
          <w:p w14:paraId="10385A49" w14:textId="77777777"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0.475</w:t>
            </w:r>
          </w:p>
        </w:tc>
        <w:tc>
          <w:tcPr>
            <w:tcW w:w="993" w:type="dxa"/>
            <w:tcBorders>
              <w:top w:val="single" w:sz="12" w:space="0" w:color="auto"/>
            </w:tcBorders>
            <w:shd w:val="clear" w:color="auto" w:fill="auto"/>
            <w:noWrap/>
            <w:vAlign w:val="bottom"/>
            <w:hideMark/>
          </w:tcPr>
          <w:p w14:paraId="714A2DB4" w14:textId="77777777"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0.946</w:t>
            </w:r>
          </w:p>
        </w:tc>
        <w:tc>
          <w:tcPr>
            <w:tcW w:w="969" w:type="dxa"/>
            <w:tcBorders>
              <w:top w:val="single" w:sz="12" w:space="0" w:color="auto"/>
            </w:tcBorders>
          </w:tcPr>
          <w:p w14:paraId="42619B8B" w14:textId="34B483E4" w:rsidR="00F93A55" w:rsidRPr="001823ED" w:rsidRDefault="00F93A55" w:rsidP="009D21B5">
            <w:pPr>
              <w:widowControl w:val="0"/>
              <w:jc w:val="center"/>
              <w:rPr>
                <w:rFonts w:ascii="Calibri" w:hAnsi="Calibri" w:cs="Calibri"/>
                <w:color w:val="000000"/>
                <w:szCs w:val="22"/>
              </w:rPr>
            </w:pPr>
            <w:r>
              <w:rPr>
                <w:rFonts w:ascii="Calibri" w:hAnsi="Calibri" w:cs="Calibri"/>
                <w:color w:val="000000"/>
                <w:szCs w:val="22"/>
              </w:rPr>
              <w:t>0.008</w:t>
            </w:r>
          </w:p>
        </w:tc>
      </w:tr>
      <w:tr w:rsidR="00F93A55" w:rsidRPr="001823ED" w14:paraId="19F2BF94" w14:textId="3598ED60" w:rsidTr="00F93A55">
        <w:trPr>
          <w:trHeight w:val="300"/>
        </w:trPr>
        <w:tc>
          <w:tcPr>
            <w:tcW w:w="4390" w:type="dxa"/>
            <w:tcBorders>
              <w:right w:val="single" w:sz="12" w:space="0" w:color="auto"/>
            </w:tcBorders>
            <w:shd w:val="clear" w:color="auto" w:fill="auto"/>
            <w:noWrap/>
            <w:vAlign w:val="bottom"/>
            <w:hideMark/>
          </w:tcPr>
          <w:p w14:paraId="2F047AC3" w14:textId="5CF4F86B" w:rsidR="00F93A55" w:rsidRPr="001823ED" w:rsidRDefault="00F93A55" w:rsidP="009D21B5">
            <w:pPr>
              <w:widowControl w:val="0"/>
              <w:rPr>
                <w:rFonts w:ascii="Calibri" w:hAnsi="Calibri" w:cs="Calibri"/>
                <w:b/>
                <w:color w:val="000000"/>
                <w:szCs w:val="22"/>
              </w:rPr>
            </w:pPr>
            <w:r w:rsidRPr="001823ED">
              <w:rPr>
                <w:rFonts w:ascii="Calibri" w:hAnsi="Calibri" w:cs="Calibri"/>
                <w:b/>
                <w:i/>
                <w:color w:val="000000"/>
                <w:szCs w:val="22"/>
              </w:rPr>
              <w:t xml:space="preserve">L. </w:t>
            </w:r>
            <w:proofErr w:type="spellStart"/>
            <w:r w:rsidRPr="001823ED">
              <w:rPr>
                <w:rFonts w:ascii="Calibri" w:hAnsi="Calibri" w:cs="Calibri"/>
                <w:b/>
                <w:i/>
                <w:color w:val="000000"/>
                <w:szCs w:val="22"/>
              </w:rPr>
              <w:t>iners</w:t>
            </w:r>
            <w:proofErr w:type="spellEnd"/>
            <w:r w:rsidRPr="001823ED">
              <w:rPr>
                <w:rFonts w:ascii="Calibri" w:hAnsi="Calibri" w:cs="Calibri"/>
                <w:b/>
                <w:color w:val="000000"/>
                <w:szCs w:val="22"/>
              </w:rPr>
              <w:t>-dominated (Li)</w:t>
            </w:r>
          </w:p>
        </w:tc>
        <w:tc>
          <w:tcPr>
            <w:tcW w:w="850" w:type="dxa"/>
            <w:tcBorders>
              <w:left w:val="single" w:sz="12" w:space="0" w:color="auto"/>
            </w:tcBorders>
            <w:shd w:val="clear" w:color="auto" w:fill="auto"/>
            <w:noWrap/>
            <w:vAlign w:val="bottom"/>
            <w:hideMark/>
          </w:tcPr>
          <w:p w14:paraId="1D243890" w14:textId="1AD14EE2"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36</w:t>
            </w:r>
          </w:p>
        </w:tc>
        <w:tc>
          <w:tcPr>
            <w:tcW w:w="722" w:type="dxa"/>
            <w:shd w:val="clear" w:color="auto" w:fill="auto"/>
            <w:vAlign w:val="bottom"/>
          </w:tcPr>
          <w:p w14:paraId="59E66234" w14:textId="0DABDEE1"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0.475</w:t>
            </w:r>
          </w:p>
        </w:tc>
        <w:tc>
          <w:tcPr>
            <w:tcW w:w="850" w:type="dxa"/>
            <w:shd w:val="clear" w:color="000000" w:fill="E7E6E6"/>
            <w:noWrap/>
            <w:vAlign w:val="bottom"/>
            <w:hideMark/>
          </w:tcPr>
          <w:p w14:paraId="76525D26" w14:textId="6ACC0565" w:rsidR="00F93A55" w:rsidRPr="001823ED" w:rsidRDefault="00F93A55" w:rsidP="009D21B5">
            <w:pPr>
              <w:widowControl w:val="0"/>
              <w:jc w:val="center"/>
              <w:rPr>
                <w:rFonts w:ascii="Calibri" w:hAnsi="Calibri" w:cs="Calibri"/>
                <w:color w:val="000000"/>
                <w:szCs w:val="22"/>
              </w:rPr>
            </w:pPr>
          </w:p>
        </w:tc>
        <w:tc>
          <w:tcPr>
            <w:tcW w:w="993" w:type="dxa"/>
            <w:shd w:val="clear" w:color="auto" w:fill="auto"/>
            <w:noWrap/>
            <w:vAlign w:val="bottom"/>
            <w:hideMark/>
          </w:tcPr>
          <w:p w14:paraId="4CE8CC4F" w14:textId="77777777"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0.361</w:t>
            </w:r>
          </w:p>
        </w:tc>
        <w:tc>
          <w:tcPr>
            <w:tcW w:w="969" w:type="dxa"/>
          </w:tcPr>
          <w:p w14:paraId="46D75976" w14:textId="5AE4A4CB" w:rsidR="00F93A55" w:rsidRPr="001823ED" w:rsidRDefault="00F93A55" w:rsidP="009D21B5">
            <w:pPr>
              <w:widowControl w:val="0"/>
              <w:jc w:val="center"/>
              <w:rPr>
                <w:rFonts w:ascii="Calibri" w:hAnsi="Calibri" w:cs="Calibri"/>
                <w:color w:val="000000"/>
                <w:szCs w:val="22"/>
              </w:rPr>
            </w:pPr>
            <w:r>
              <w:rPr>
                <w:rFonts w:ascii="Calibri" w:hAnsi="Calibri" w:cs="Calibri"/>
                <w:color w:val="000000"/>
                <w:szCs w:val="22"/>
              </w:rPr>
              <w:t>0.033</w:t>
            </w:r>
          </w:p>
        </w:tc>
      </w:tr>
      <w:tr w:rsidR="00F93A55" w:rsidRPr="001823ED" w14:paraId="67C247EF" w14:textId="77777777" w:rsidTr="00F93A55">
        <w:trPr>
          <w:trHeight w:val="300"/>
        </w:trPr>
        <w:tc>
          <w:tcPr>
            <w:tcW w:w="4390" w:type="dxa"/>
            <w:tcBorders>
              <w:right w:val="single" w:sz="12" w:space="0" w:color="auto"/>
            </w:tcBorders>
            <w:shd w:val="clear" w:color="auto" w:fill="auto"/>
            <w:noWrap/>
            <w:vAlign w:val="bottom"/>
          </w:tcPr>
          <w:p w14:paraId="6C33707D" w14:textId="291BCD61" w:rsidR="00F93A55" w:rsidRPr="00F93A55" w:rsidRDefault="00F93A55" w:rsidP="009D21B5">
            <w:pPr>
              <w:widowControl w:val="0"/>
              <w:rPr>
                <w:rFonts w:ascii="Calibri" w:hAnsi="Calibri" w:cs="Calibri"/>
                <w:b/>
                <w:color w:val="000000"/>
                <w:szCs w:val="22"/>
              </w:rPr>
            </w:pPr>
            <w:r w:rsidRPr="001823ED">
              <w:rPr>
                <w:rFonts w:ascii="Calibri" w:hAnsi="Calibri" w:cs="Calibri"/>
                <w:b/>
                <w:color w:val="000000"/>
                <w:szCs w:val="22"/>
              </w:rPr>
              <w:t xml:space="preserve">Other lactobacilli- or </w:t>
            </w:r>
            <w:r w:rsidRPr="001823ED">
              <w:rPr>
                <w:rFonts w:ascii="Calibri" w:hAnsi="Calibri" w:cs="Calibri"/>
                <w:b/>
                <w:i/>
                <w:color w:val="000000"/>
                <w:szCs w:val="22"/>
              </w:rPr>
              <w:t>Bifidobacterium</w:t>
            </w:r>
            <w:r w:rsidRPr="001823ED">
              <w:rPr>
                <w:rFonts w:ascii="Calibri" w:hAnsi="Calibri" w:cs="Calibri"/>
                <w:b/>
                <w:color w:val="000000"/>
                <w:szCs w:val="22"/>
              </w:rPr>
              <w:t>-dominated (</w:t>
            </w:r>
            <w:proofErr w:type="spellStart"/>
            <w:r w:rsidRPr="001823ED">
              <w:rPr>
                <w:rFonts w:ascii="Calibri" w:hAnsi="Calibri" w:cs="Calibri"/>
                <w:b/>
                <w:color w:val="000000"/>
                <w:szCs w:val="22"/>
              </w:rPr>
              <w:t>Lo+BL</w:t>
            </w:r>
            <w:proofErr w:type="spellEnd"/>
            <w:r w:rsidRPr="001823ED">
              <w:rPr>
                <w:rFonts w:ascii="Calibri" w:hAnsi="Calibri" w:cs="Calibri"/>
                <w:b/>
                <w:color w:val="000000"/>
                <w:szCs w:val="22"/>
              </w:rPr>
              <w:t>)</w:t>
            </w:r>
          </w:p>
        </w:tc>
        <w:tc>
          <w:tcPr>
            <w:tcW w:w="850" w:type="dxa"/>
            <w:tcBorders>
              <w:left w:val="single" w:sz="12" w:space="0" w:color="auto"/>
            </w:tcBorders>
            <w:shd w:val="clear" w:color="auto" w:fill="auto"/>
            <w:noWrap/>
            <w:vAlign w:val="center"/>
          </w:tcPr>
          <w:p w14:paraId="0C6F6120" w14:textId="251C77B5" w:rsidR="00F93A55" w:rsidRPr="001823ED" w:rsidRDefault="00F93A55" w:rsidP="00F93A55">
            <w:pPr>
              <w:widowControl w:val="0"/>
              <w:jc w:val="center"/>
              <w:rPr>
                <w:rFonts w:ascii="Calibri" w:hAnsi="Calibri" w:cs="Calibri"/>
                <w:color w:val="000000"/>
                <w:szCs w:val="22"/>
              </w:rPr>
            </w:pPr>
            <w:r>
              <w:rPr>
                <w:rFonts w:ascii="Calibri" w:hAnsi="Calibri" w:cs="Calibri"/>
                <w:color w:val="000000"/>
                <w:szCs w:val="22"/>
              </w:rPr>
              <w:t>22</w:t>
            </w:r>
          </w:p>
        </w:tc>
        <w:tc>
          <w:tcPr>
            <w:tcW w:w="722" w:type="dxa"/>
            <w:shd w:val="clear" w:color="auto" w:fill="auto"/>
            <w:vAlign w:val="center"/>
          </w:tcPr>
          <w:p w14:paraId="27EDC9E4" w14:textId="318E1081" w:rsidR="00F93A55" w:rsidRPr="001823ED" w:rsidRDefault="00F93A55" w:rsidP="00F93A55">
            <w:pPr>
              <w:widowControl w:val="0"/>
              <w:jc w:val="center"/>
              <w:rPr>
                <w:rFonts w:ascii="Calibri" w:hAnsi="Calibri" w:cs="Calibri"/>
                <w:color w:val="000000"/>
                <w:szCs w:val="22"/>
              </w:rPr>
            </w:pPr>
            <w:r>
              <w:rPr>
                <w:rFonts w:ascii="Calibri" w:hAnsi="Calibri" w:cs="Calibri"/>
                <w:color w:val="000000"/>
                <w:szCs w:val="22"/>
              </w:rPr>
              <w:t>0.946</w:t>
            </w:r>
          </w:p>
        </w:tc>
        <w:tc>
          <w:tcPr>
            <w:tcW w:w="850" w:type="dxa"/>
            <w:shd w:val="clear" w:color="auto" w:fill="auto"/>
            <w:noWrap/>
            <w:vAlign w:val="center"/>
          </w:tcPr>
          <w:p w14:paraId="6866EB52" w14:textId="7CE66C15" w:rsidR="00F93A55" w:rsidRPr="001823ED" w:rsidRDefault="00F93A55" w:rsidP="00F93A55">
            <w:pPr>
              <w:widowControl w:val="0"/>
              <w:jc w:val="center"/>
              <w:rPr>
                <w:rFonts w:ascii="Calibri" w:hAnsi="Calibri" w:cs="Calibri"/>
                <w:color w:val="000000"/>
                <w:szCs w:val="22"/>
              </w:rPr>
            </w:pPr>
            <w:r>
              <w:rPr>
                <w:rFonts w:ascii="Calibri" w:hAnsi="Calibri" w:cs="Calibri"/>
                <w:color w:val="000000"/>
                <w:szCs w:val="22"/>
              </w:rPr>
              <w:t>0.361</w:t>
            </w:r>
          </w:p>
        </w:tc>
        <w:tc>
          <w:tcPr>
            <w:tcW w:w="993" w:type="dxa"/>
            <w:shd w:val="clear" w:color="auto" w:fill="D9D9D9" w:themeFill="background1" w:themeFillShade="D9"/>
            <w:noWrap/>
            <w:vAlign w:val="center"/>
          </w:tcPr>
          <w:p w14:paraId="790DDD6A" w14:textId="77777777" w:rsidR="00F93A55" w:rsidRPr="001823ED" w:rsidRDefault="00F93A55" w:rsidP="00F93A55">
            <w:pPr>
              <w:widowControl w:val="0"/>
              <w:jc w:val="center"/>
              <w:rPr>
                <w:rFonts w:ascii="Calibri" w:hAnsi="Calibri" w:cs="Calibri"/>
                <w:color w:val="000000"/>
                <w:szCs w:val="22"/>
              </w:rPr>
            </w:pPr>
          </w:p>
        </w:tc>
        <w:tc>
          <w:tcPr>
            <w:tcW w:w="969" w:type="dxa"/>
            <w:vAlign w:val="center"/>
          </w:tcPr>
          <w:p w14:paraId="23F421D2" w14:textId="24C5D095" w:rsidR="00F93A55" w:rsidRPr="001823ED" w:rsidRDefault="00F93A55" w:rsidP="00F93A55">
            <w:pPr>
              <w:widowControl w:val="0"/>
              <w:jc w:val="center"/>
              <w:rPr>
                <w:rFonts w:ascii="Calibri" w:hAnsi="Calibri" w:cs="Calibri"/>
                <w:color w:val="000000"/>
                <w:szCs w:val="22"/>
              </w:rPr>
            </w:pPr>
            <w:r>
              <w:rPr>
                <w:rFonts w:ascii="Calibri" w:hAnsi="Calibri" w:cs="Calibri"/>
                <w:color w:val="000000"/>
                <w:szCs w:val="22"/>
              </w:rPr>
              <w:t>0.007</w:t>
            </w:r>
          </w:p>
        </w:tc>
      </w:tr>
      <w:tr w:rsidR="00F93A55" w:rsidRPr="001823ED" w14:paraId="09654701" w14:textId="4E8FD8AF" w:rsidTr="00F93A55">
        <w:trPr>
          <w:trHeight w:val="300"/>
        </w:trPr>
        <w:tc>
          <w:tcPr>
            <w:tcW w:w="4390" w:type="dxa"/>
            <w:tcBorders>
              <w:right w:val="single" w:sz="12" w:space="0" w:color="auto"/>
            </w:tcBorders>
            <w:shd w:val="clear" w:color="auto" w:fill="auto"/>
            <w:noWrap/>
            <w:vAlign w:val="bottom"/>
            <w:hideMark/>
          </w:tcPr>
          <w:p w14:paraId="10AC522E" w14:textId="2F372960" w:rsidR="00F93A55" w:rsidRPr="001823ED" w:rsidRDefault="00F93A55" w:rsidP="009D21B5">
            <w:pPr>
              <w:widowControl w:val="0"/>
              <w:rPr>
                <w:rFonts w:ascii="Calibri" w:hAnsi="Calibri" w:cs="Calibri"/>
                <w:b/>
                <w:color w:val="000000"/>
                <w:szCs w:val="22"/>
              </w:rPr>
            </w:pPr>
            <w:r w:rsidRPr="001823ED">
              <w:rPr>
                <w:rFonts w:ascii="Calibri" w:hAnsi="Calibri" w:cs="Calibri"/>
                <w:b/>
                <w:color w:val="000000"/>
                <w:szCs w:val="22"/>
              </w:rPr>
              <w:t>Lactobacilli with anaerobes or BV (LA+BV)</w:t>
            </w:r>
          </w:p>
        </w:tc>
        <w:tc>
          <w:tcPr>
            <w:tcW w:w="850" w:type="dxa"/>
            <w:tcBorders>
              <w:left w:val="single" w:sz="12" w:space="0" w:color="auto"/>
            </w:tcBorders>
            <w:shd w:val="clear" w:color="auto" w:fill="auto"/>
            <w:noWrap/>
            <w:vAlign w:val="bottom"/>
            <w:hideMark/>
          </w:tcPr>
          <w:p w14:paraId="09A4620B" w14:textId="2FF7F6F8"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28</w:t>
            </w:r>
          </w:p>
        </w:tc>
        <w:tc>
          <w:tcPr>
            <w:tcW w:w="722" w:type="dxa"/>
            <w:shd w:val="clear" w:color="auto" w:fill="auto"/>
            <w:vAlign w:val="bottom"/>
          </w:tcPr>
          <w:p w14:paraId="3DD97824" w14:textId="0AE47A6E"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0.008</w:t>
            </w:r>
          </w:p>
        </w:tc>
        <w:tc>
          <w:tcPr>
            <w:tcW w:w="850" w:type="dxa"/>
            <w:shd w:val="clear" w:color="auto" w:fill="auto"/>
            <w:noWrap/>
            <w:vAlign w:val="bottom"/>
            <w:hideMark/>
          </w:tcPr>
          <w:p w14:paraId="5AE2D737" w14:textId="56CA448F"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0.033</w:t>
            </w:r>
          </w:p>
        </w:tc>
        <w:tc>
          <w:tcPr>
            <w:tcW w:w="993" w:type="dxa"/>
            <w:shd w:val="clear" w:color="auto" w:fill="auto"/>
            <w:noWrap/>
            <w:vAlign w:val="bottom"/>
            <w:hideMark/>
          </w:tcPr>
          <w:p w14:paraId="540971F3" w14:textId="77777777" w:rsidR="00F93A55" w:rsidRPr="001823ED" w:rsidRDefault="00F93A55" w:rsidP="009D21B5">
            <w:pPr>
              <w:widowControl w:val="0"/>
              <w:jc w:val="center"/>
              <w:rPr>
                <w:rFonts w:ascii="Calibri" w:hAnsi="Calibri" w:cs="Calibri"/>
                <w:color w:val="000000"/>
                <w:szCs w:val="22"/>
              </w:rPr>
            </w:pPr>
            <w:r w:rsidRPr="001823ED">
              <w:rPr>
                <w:rFonts w:ascii="Calibri" w:hAnsi="Calibri" w:cs="Calibri"/>
                <w:color w:val="000000"/>
                <w:szCs w:val="22"/>
              </w:rPr>
              <w:t>0.007</w:t>
            </w:r>
          </w:p>
        </w:tc>
        <w:tc>
          <w:tcPr>
            <w:tcW w:w="969" w:type="dxa"/>
            <w:shd w:val="clear" w:color="auto" w:fill="D9D9D9" w:themeFill="background1" w:themeFillShade="D9"/>
          </w:tcPr>
          <w:p w14:paraId="7F78A316" w14:textId="77777777" w:rsidR="00F93A55" w:rsidRPr="001823ED" w:rsidRDefault="00F93A55" w:rsidP="009D21B5">
            <w:pPr>
              <w:widowControl w:val="0"/>
              <w:jc w:val="center"/>
              <w:rPr>
                <w:rFonts w:ascii="Calibri" w:hAnsi="Calibri" w:cs="Calibri"/>
                <w:color w:val="000000"/>
                <w:szCs w:val="22"/>
              </w:rPr>
            </w:pPr>
          </w:p>
        </w:tc>
      </w:tr>
    </w:tbl>
    <w:p w14:paraId="407C5C20" w14:textId="77777777" w:rsidR="008E71F1" w:rsidRPr="001823ED" w:rsidRDefault="008E71F1" w:rsidP="009D21B5">
      <w:pPr>
        <w:widowControl w:val="0"/>
        <w:rPr>
          <w:sz w:val="16"/>
          <w:szCs w:val="16"/>
        </w:rPr>
      </w:pPr>
    </w:p>
    <w:p w14:paraId="1182F592" w14:textId="2F936748" w:rsidR="00D2603D" w:rsidRPr="00074323" w:rsidRDefault="008E71F1" w:rsidP="009D21B5">
      <w:pPr>
        <w:widowControl w:val="0"/>
        <w:rPr>
          <w:sz w:val="18"/>
          <w:szCs w:val="18"/>
        </w:rPr>
      </w:pPr>
      <w:r w:rsidRPr="00502205">
        <w:rPr>
          <w:color w:val="000000"/>
          <w:sz w:val="18"/>
          <w:szCs w:val="18"/>
        </w:rPr>
        <w:t xml:space="preserve">VMB type definitions: </w:t>
      </w:r>
      <w:r w:rsidR="002D6459">
        <w:rPr>
          <w:sz w:val="18"/>
          <w:szCs w:val="18"/>
        </w:rPr>
        <w:t>﻿</w:t>
      </w:r>
      <w:r w:rsidRPr="00502205">
        <w:rPr>
          <w:i/>
          <w:iCs/>
          <w:sz w:val="18"/>
          <w:szCs w:val="18"/>
        </w:rPr>
        <w:t xml:space="preserve">L. </w:t>
      </w:r>
      <w:proofErr w:type="spellStart"/>
      <w:r w:rsidRPr="00502205">
        <w:rPr>
          <w:i/>
          <w:iCs/>
          <w:sz w:val="18"/>
          <w:szCs w:val="18"/>
        </w:rPr>
        <w:t>iners</w:t>
      </w:r>
      <w:proofErr w:type="spellEnd"/>
      <w:r w:rsidRPr="00502205">
        <w:rPr>
          <w:sz w:val="18"/>
          <w:szCs w:val="18"/>
        </w:rPr>
        <w:t xml:space="preserve">-dominated (Li; ≥75% lactobacilli with </w:t>
      </w:r>
      <w:r w:rsidRPr="00502205">
        <w:rPr>
          <w:i/>
          <w:iCs/>
          <w:sz w:val="18"/>
          <w:szCs w:val="18"/>
        </w:rPr>
        <w:t xml:space="preserve">L. </w:t>
      </w:r>
      <w:proofErr w:type="spellStart"/>
      <w:r w:rsidRPr="00502205">
        <w:rPr>
          <w:i/>
          <w:iCs/>
          <w:sz w:val="18"/>
          <w:szCs w:val="18"/>
        </w:rPr>
        <w:t>iners</w:t>
      </w:r>
      <w:proofErr w:type="spellEnd"/>
      <w:r w:rsidR="002D6459">
        <w:rPr>
          <w:sz w:val="18"/>
          <w:szCs w:val="18"/>
        </w:rPr>
        <w:t xml:space="preserve"> the most common); </w:t>
      </w:r>
      <w:r w:rsidRPr="00502205">
        <w:rPr>
          <w:i/>
          <w:iCs/>
          <w:sz w:val="18"/>
          <w:szCs w:val="18"/>
        </w:rPr>
        <w:t xml:space="preserve">L. </w:t>
      </w:r>
      <w:proofErr w:type="spellStart"/>
      <w:r w:rsidRPr="00502205">
        <w:rPr>
          <w:i/>
          <w:iCs/>
          <w:sz w:val="18"/>
          <w:szCs w:val="18"/>
        </w:rPr>
        <w:t>crispatus</w:t>
      </w:r>
      <w:proofErr w:type="spellEnd"/>
      <w:r w:rsidRPr="00502205">
        <w:rPr>
          <w:sz w:val="18"/>
          <w:szCs w:val="18"/>
        </w:rPr>
        <w:t xml:space="preserve"> (</w:t>
      </w:r>
      <w:proofErr w:type="spellStart"/>
      <w:r w:rsidRPr="00502205">
        <w:rPr>
          <w:sz w:val="18"/>
          <w:szCs w:val="18"/>
        </w:rPr>
        <w:t>Lcr</w:t>
      </w:r>
      <w:proofErr w:type="spellEnd"/>
      <w:r w:rsidRPr="00502205">
        <w:rPr>
          <w:sz w:val="18"/>
          <w:szCs w:val="18"/>
        </w:rPr>
        <w:t xml:space="preserve">; ≥75% lactobacilli with </w:t>
      </w:r>
      <w:r w:rsidRPr="00502205">
        <w:rPr>
          <w:i/>
          <w:iCs/>
          <w:sz w:val="18"/>
          <w:szCs w:val="18"/>
        </w:rPr>
        <w:t xml:space="preserve">L. </w:t>
      </w:r>
      <w:proofErr w:type="spellStart"/>
      <w:r w:rsidRPr="00502205">
        <w:rPr>
          <w:i/>
          <w:iCs/>
          <w:sz w:val="18"/>
          <w:szCs w:val="18"/>
        </w:rPr>
        <w:t>crispatus</w:t>
      </w:r>
      <w:proofErr w:type="spellEnd"/>
      <w:r w:rsidR="002D6459">
        <w:rPr>
          <w:sz w:val="18"/>
          <w:szCs w:val="18"/>
        </w:rPr>
        <w:t xml:space="preserve"> the most common); </w:t>
      </w:r>
      <w:r w:rsidRPr="00502205">
        <w:rPr>
          <w:sz w:val="18"/>
          <w:szCs w:val="18"/>
        </w:rPr>
        <w:t xml:space="preserve">other lactobacilli-dominated or </w:t>
      </w:r>
      <w:r w:rsidR="002D6459">
        <w:rPr>
          <w:i/>
          <w:iCs/>
          <w:sz w:val="18"/>
          <w:szCs w:val="18"/>
        </w:rPr>
        <w:t>Bifidobacterium-</w:t>
      </w:r>
      <w:r w:rsidRPr="00502205">
        <w:rPr>
          <w:sz w:val="18"/>
          <w:szCs w:val="18"/>
        </w:rPr>
        <w:t>dominated (</w:t>
      </w:r>
      <w:proofErr w:type="spellStart"/>
      <w:r w:rsidRPr="00502205">
        <w:rPr>
          <w:sz w:val="18"/>
          <w:szCs w:val="18"/>
        </w:rPr>
        <w:t>Lo+BL</w:t>
      </w:r>
      <w:proofErr w:type="spellEnd"/>
      <w:r w:rsidRPr="00502205">
        <w:rPr>
          <w:sz w:val="18"/>
          <w:szCs w:val="18"/>
        </w:rPr>
        <w:t xml:space="preserve">; either≥75% lactobacilli with </w:t>
      </w:r>
      <w:r w:rsidRPr="00502205">
        <w:rPr>
          <w:i/>
          <w:iCs/>
          <w:sz w:val="18"/>
          <w:szCs w:val="18"/>
        </w:rPr>
        <w:t xml:space="preserve">L. </w:t>
      </w:r>
      <w:proofErr w:type="spellStart"/>
      <w:r w:rsidRPr="00502205">
        <w:rPr>
          <w:i/>
          <w:iCs/>
          <w:sz w:val="18"/>
          <w:szCs w:val="18"/>
        </w:rPr>
        <w:t>jensenii</w:t>
      </w:r>
      <w:proofErr w:type="spellEnd"/>
      <w:r w:rsidRPr="00502205">
        <w:rPr>
          <w:i/>
          <w:iCs/>
          <w:sz w:val="18"/>
          <w:szCs w:val="18"/>
        </w:rPr>
        <w:t xml:space="preserve"> </w:t>
      </w:r>
      <w:r w:rsidRPr="00502205">
        <w:rPr>
          <w:sz w:val="18"/>
          <w:szCs w:val="18"/>
        </w:rPr>
        <w:t xml:space="preserve">or </w:t>
      </w:r>
      <w:r w:rsidRPr="00502205">
        <w:rPr>
          <w:i/>
          <w:iCs/>
          <w:sz w:val="18"/>
          <w:szCs w:val="18"/>
        </w:rPr>
        <w:t xml:space="preserve">L. </w:t>
      </w:r>
      <w:proofErr w:type="spellStart"/>
      <w:r w:rsidRPr="00502205">
        <w:rPr>
          <w:i/>
          <w:iCs/>
          <w:sz w:val="18"/>
          <w:szCs w:val="18"/>
        </w:rPr>
        <w:t>gasseri</w:t>
      </w:r>
      <w:proofErr w:type="spellEnd"/>
      <w:r w:rsidRPr="00502205">
        <w:rPr>
          <w:sz w:val="18"/>
          <w:szCs w:val="18"/>
        </w:rPr>
        <w:t xml:space="preserve"> the most common, or </w:t>
      </w:r>
      <w:r w:rsidR="00F93A55" w:rsidRPr="00502205">
        <w:rPr>
          <w:sz w:val="18"/>
          <w:szCs w:val="18"/>
        </w:rPr>
        <w:t>≥50%</w:t>
      </w:r>
      <w:r w:rsidR="00F93A55">
        <w:rPr>
          <w:sz w:val="18"/>
          <w:szCs w:val="18"/>
        </w:rPr>
        <w:t xml:space="preserve"> </w:t>
      </w:r>
      <w:r w:rsidRPr="00502205">
        <w:rPr>
          <w:i/>
          <w:iCs/>
          <w:sz w:val="18"/>
          <w:szCs w:val="18"/>
        </w:rPr>
        <w:t>Bifidobacterium</w:t>
      </w:r>
      <w:r w:rsidR="002D6459">
        <w:rPr>
          <w:sz w:val="18"/>
          <w:szCs w:val="18"/>
        </w:rPr>
        <w:t xml:space="preserve">); and </w:t>
      </w:r>
      <w:r w:rsidR="00F93A55">
        <w:rPr>
          <w:sz w:val="18"/>
          <w:szCs w:val="18"/>
        </w:rPr>
        <w:t xml:space="preserve">either </w:t>
      </w:r>
      <w:r w:rsidRPr="00502205">
        <w:rPr>
          <w:sz w:val="18"/>
          <w:szCs w:val="18"/>
        </w:rPr>
        <w:t xml:space="preserve">lactobacilli and anaerobes (LA; </w:t>
      </w:r>
      <w:r w:rsidR="00F93A55">
        <w:rPr>
          <w:sz w:val="18"/>
          <w:szCs w:val="18"/>
        </w:rPr>
        <w:t>25%- 75% lactobacilli and</w:t>
      </w:r>
      <w:r w:rsidR="00132C27">
        <w:rPr>
          <w:sz w:val="18"/>
          <w:szCs w:val="18"/>
        </w:rPr>
        <w:t xml:space="preserve"> the remainder anaerobes</w:t>
      </w:r>
      <w:r w:rsidR="00F93A55">
        <w:rPr>
          <w:sz w:val="18"/>
          <w:szCs w:val="18"/>
        </w:rPr>
        <w:t xml:space="preserve">) or a mixture of </w:t>
      </w:r>
      <w:r w:rsidR="00074323">
        <w:rPr>
          <w:sz w:val="18"/>
          <w:szCs w:val="18"/>
        </w:rPr>
        <w:t>BV-anaerobes (BV</w:t>
      </w:r>
      <w:r w:rsidRPr="00502205">
        <w:rPr>
          <w:sz w:val="18"/>
          <w:szCs w:val="18"/>
        </w:rPr>
        <w:t>;</w:t>
      </w:r>
      <w:r w:rsidR="00074323">
        <w:rPr>
          <w:sz w:val="18"/>
          <w:szCs w:val="18"/>
        </w:rPr>
        <w:t xml:space="preserve"> ≥75% BV-anaerobes</w:t>
      </w:r>
      <w:r w:rsidRPr="00502205">
        <w:rPr>
          <w:sz w:val="18"/>
          <w:szCs w:val="18"/>
        </w:rPr>
        <w:t>).</w:t>
      </w:r>
    </w:p>
    <w:p w14:paraId="3CB4ED9B" w14:textId="57DABBED" w:rsidR="0021090C" w:rsidRDefault="00A35045">
      <w:pPr>
        <w:rPr>
          <w:b/>
        </w:rPr>
      </w:pPr>
      <w:r w:rsidRPr="001823ED">
        <w:rPr>
          <w:b/>
        </w:rPr>
        <w:br w:type="page"/>
      </w:r>
      <w:r w:rsidR="0021090C" w:rsidRPr="001823ED">
        <w:rPr>
          <w:b/>
        </w:rPr>
        <w:lastRenderedPageBreak/>
        <w:t>Table A</w:t>
      </w:r>
      <w:r w:rsidR="0021090C">
        <w:rPr>
          <w:b/>
        </w:rPr>
        <w:t>5</w:t>
      </w:r>
      <w:r w:rsidR="0021090C" w:rsidRPr="001823ED">
        <w:rPr>
          <w:b/>
        </w:rPr>
        <w:t xml:space="preserve">: </w:t>
      </w:r>
      <w:r w:rsidR="0021090C">
        <w:rPr>
          <w:b/>
        </w:rPr>
        <w:t>Change</w:t>
      </w:r>
      <w:r w:rsidR="00085C3F">
        <w:rPr>
          <w:b/>
        </w:rPr>
        <w:t>s</w:t>
      </w:r>
      <w:r w:rsidR="0021090C">
        <w:rPr>
          <w:b/>
        </w:rPr>
        <w:t xml:space="preserve"> in VMB </w:t>
      </w:r>
      <w:r w:rsidR="00085C3F">
        <w:rPr>
          <w:b/>
        </w:rPr>
        <w:t xml:space="preserve">composition </w:t>
      </w:r>
      <w:r w:rsidR="0021090C">
        <w:rPr>
          <w:b/>
        </w:rPr>
        <w:t>between 16 and 20 weeks gestation for the subset of participants with valid sequencing results at both visits</w:t>
      </w:r>
    </w:p>
    <w:p w14:paraId="600D94EB" w14:textId="77777777" w:rsidR="0021090C" w:rsidRDefault="0021090C">
      <w:pPr>
        <w:rPr>
          <w:b/>
        </w:rPr>
      </w:pPr>
    </w:p>
    <w:p w14:paraId="05935687" w14:textId="0DBD2AAD" w:rsidR="0021090C" w:rsidRDefault="0072002A">
      <w:pPr>
        <w:rPr>
          <w:b/>
        </w:rPr>
      </w:pPr>
      <w:r w:rsidRPr="0072002A">
        <w:rPr>
          <w:b/>
          <w:noProof/>
        </w:rPr>
        <w:drawing>
          <wp:inline distT="0" distB="0" distL="0" distR="0" wp14:anchorId="2D1AE699" wp14:editId="7A0C2D3B">
            <wp:extent cx="5760720" cy="111633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116330"/>
                    </a:xfrm>
                    <a:prstGeom prst="rect">
                      <a:avLst/>
                    </a:prstGeom>
                  </pic:spPr>
                </pic:pic>
              </a:graphicData>
            </a:graphic>
          </wp:inline>
        </w:drawing>
      </w:r>
      <w:r w:rsidR="0021090C" w:rsidRPr="0021090C">
        <w:rPr>
          <w:b/>
        </w:rPr>
        <w:t xml:space="preserve"> </w:t>
      </w:r>
    </w:p>
    <w:p w14:paraId="5A9A897E" w14:textId="5BCA845F" w:rsidR="00085C3F" w:rsidRDefault="00085C3F" w:rsidP="0021090C">
      <w:pPr>
        <w:widowControl w:val="0"/>
        <w:rPr>
          <w:iCs/>
          <w:sz w:val="16"/>
          <w:szCs w:val="16"/>
        </w:rPr>
      </w:pPr>
      <w:r w:rsidRPr="00085C3F">
        <w:rPr>
          <w:iCs/>
          <w:sz w:val="16"/>
          <w:szCs w:val="16"/>
          <w:u w:val="single"/>
        </w:rPr>
        <w:t>Abbreviations</w:t>
      </w:r>
      <w:r>
        <w:rPr>
          <w:iCs/>
          <w:sz w:val="16"/>
          <w:szCs w:val="16"/>
        </w:rPr>
        <w:t>: HR=high risk; LD=lactobacilli-dominated; LR=low risk; PPROM=premature prelabour rupture of membranes; sPTB=spontaneous preterm birth; VMB=vaginal microbiota.</w:t>
      </w:r>
    </w:p>
    <w:p w14:paraId="24204CE2" w14:textId="77777777" w:rsidR="00085C3F" w:rsidRDefault="0021090C" w:rsidP="0021090C">
      <w:pPr>
        <w:widowControl w:val="0"/>
        <w:rPr>
          <w:iCs/>
          <w:sz w:val="16"/>
          <w:szCs w:val="16"/>
        </w:rPr>
      </w:pPr>
      <w:r w:rsidRPr="00085C3F">
        <w:rPr>
          <w:iCs/>
          <w:sz w:val="16"/>
          <w:szCs w:val="16"/>
        </w:rPr>
        <w:t>Each participant was allocated to one of five groups: 1) same lactobacilli ( ≥75% lactobacilli (=lactobacilli-dominant or LD) at both visits with dominance of the same species); (2) different lactobacilli (LD at both visits with dominance of different species); (3) persistently non- LD (non-LD at both visits); 4) non-LD to LD (non-LD at the first visit and LD at the second visit); and 5) LD to non-LD (LD at the first visit and non-LD at the second visit).</w:t>
      </w:r>
    </w:p>
    <w:p w14:paraId="0C45A73B" w14:textId="3D05D745" w:rsidR="0021090C" w:rsidRPr="00085C3F" w:rsidRDefault="0021090C" w:rsidP="0021090C">
      <w:pPr>
        <w:widowControl w:val="0"/>
        <w:rPr>
          <w:iCs/>
          <w:sz w:val="16"/>
          <w:szCs w:val="16"/>
        </w:rPr>
      </w:pPr>
      <w:r w:rsidRPr="00085C3F">
        <w:rPr>
          <w:iCs/>
          <w:sz w:val="16"/>
          <w:szCs w:val="16"/>
        </w:rPr>
        <w:t xml:space="preserve">* P value calculated by Fisher’s </w:t>
      </w:r>
      <w:r w:rsidR="00CC2D1E" w:rsidRPr="00085C3F">
        <w:rPr>
          <w:iCs/>
          <w:sz w:val="16"/>
          <w:szCs w:val="16"/>
        </w:rPr>
        <w:t>exact</w:t>
      </w:r>
      <w:r w:rsidRPr="00085C3F">
        <w:rPr>
          <w:iCs/>
          <w:sz w:val="16"/>
          <w:szCs w:val="16"/>
        </w:rPr>
        <w:t xml:space="preserve"> test.</w:t>
      </w:r>
    </w:p>
    <w:p w14:paraId="24510EF9" w14:textId="3000861E" w:rsidR="0021090C" w:rsidRDefault="0021090C">
      <w:pPr>
        <w:rPr>
          <w:b/>
        </w:rPr>
      </w:pPr>
      <w:r>
        <w:rPr>
          <w:b/>
        </w:rPr>
        <w:br w:type="page"/>
      </w:r>
    </w:p>
    <w:p w14:paraId="518051B7" w14:textId="5A4BA16E" w:rsidR="00A35045" w:rsidRPr="001823ED" w:rsidRDefault="00A35045" w:rsidP="00A35045">
      <w:pPr>
        <w:widowControl w:val="0"/>
        <w:rPr>
          <w:b/>
        </w:rPr>
      </w:pPr>
      <w:r w:rsidRPr="001823ED">
        <w:rPr>
          <w:rFonts w:eastAsia="Calibri"/>
          <w:b/>
        </w:rPr>
        <w:lastRenderedPageBreak/>
        <w:t>Table A</w:t>
      </w:r>
      <w:r w:rsidR="00E418FA">
        <w:rPr>
          <w:rFonts w:eastAsia="Calibri"/>
          <w:b/>
        </w:rPr>
        <w:t>6</w:t>
      </w:r>
      <w:r w:rsidRPr="001823ED">
        <w:rPr>
          <w:rFonts w:eastAsia="Calibri"/>
          <w:b/>
        </w:rPr>
        <w:t>: PREBIC consortium essential and desirable criteria of minimum PTB dataset</w:t>
      </w:r>
      <w:r w:rsidRPr="001823ED">
        <w:rPr>
          <w:b/>
          <w:vertAlign w:val="superscript"/>
        </w:rPr>
        <w:fldChar w:fldCharType="begin" w:fldLock="1"/>
      </w:r>
      <w:r w:rsidR="008225FC">
        <w:rPr>
          <w:b/>
          <w:vertAlign w:val="superscript"/>
        </w:rPr>
        <w:instrText>ADDIN CSL_CITATION {"citationItems":[{"id":"ITEM-1","itemData":{"DOI":"10.1016/j.placenta.2019.03.011","ISSN":"15323102","abstract":"Objective: This systematic review aims to identify, critically appraise and summarize the results of studies examining the relationship between the vaginal microbiota and preterm birth (PTB). Methods: We searched the electronic databases Medline, EMBASE and the Cochrane Controlled Register of Trials for studies in any language reporting on vaginal microbiota and PTB published from 1990 to November 29th, 2017. We included any study that performed lower genital tract microbiota assessment in asymptomatic pregnant women and reported on spontaneous preterm birth, with either intact or ruptured membranes. Results: The search strategy yielded 2171 unique citations, of which nine studies were eligible for inclusion in this review. In six studies an association was found between the composition of the vaginal microbiota and PTB, but findings differed between subgroups, ethnicities and degree of risk of PTB. In three studies no association was found. Two of these studies found a significant difference in richness and Shannon diversity between term and PTB. Conclusions: We have demonstrated that there is a paucity of molecular based, culture-independent studies that analyse the relationship between the vaginal microbiota and PTB as an outcome. The heterogeneity precluded a meta-analysis. Studies provide contradictory evidence and the quality of the clinical information in the studies is poor. To improve quality of future studies we have provided a database of essential and desirable items of quality that are method and topic specific.","author":[{"dropping-particle":"","family":"Peelen","given":"Myrthe JCS","non-dropping-particle":"","parse-names":false,"suffix":""},{"dropping-particle":"","family":"Luef","given":"Birgitte Møller","non-dropping-particle":"","parse-names":false,"suffix":""},{"dropping-particle":"","family":"Lamont","given":"Ronald F.","non-dropping-particle":"","parse-names":false,"suffix":""},{"dropping-particle":"","family":"Milliano","given":"Inge","non-dropping-particle":"de","parse-names":false,"suffix":""},{"dropping-particle":"","family":"Jensen","given":"Jørgen Skov","non-dropping-particle":"","parse-names":false,"suffix":""},{"dropping-particle":"","family":"Limpens","given":"Jacqueline","non-dropping-particle":"","parse-names":false,"suffix":""},{"dropping-particle":"","family":"Hajenius","given":"Petra J.","non-dropping-particle":"","parse-names":false,"suffix":""},{"dropping-particle":"","family":"Jørgensen","given":"Jan Stener","non-dropping-particle":"","parse-names":false,"suffix":""},{"dropping-particle":"","family":"Menon","given":"Ramkumar","non-dropping-particle":"","parse-names":false,"suffix":""}],"container-title":"Placenta","id":"ITEM-1","issue":"December 2018","issued":{"date-parts":[["2019"]]},"page":"30-39","publisher":"Elsevier","title":"The influence of the vaginal microbiota on preterm birth: A systematic review and recommendations for a minimum dataset for future research","type":"article-journal","volume":"79"},"uris":["http://www.mendeley.com/documents/?uuid=a3c891e3-42b6-4aae-a17e-6f172b959101"]}],"mendeley":{"formattedCitation":"&lt;sup&gt;8&lt;/sup&gt;","plainTextFormattedCitation":"8","previouslyFormattedCitation":"&lt;sup&gt;8&lt;/sup&gt;"},"properties":{"noteIndex":0},"schema":"https://github.com/citation-style-language/schema/raw/master/csl-citation.json"}</w:instrText>
      </w:r>
      <w:r w:rsidRPr="001823ED">
        <w:rPr>
          <w:b/>
          <w:vertAlign w:val="superscript"/>
        </w:rPr>
        <w:fldChar w:fldCharType="separate"/>
      </w:r>
      <w:r w:rsidR="0042078F" w:rsidRPr="0042078F">
        <w:rPr>
          <w:noProof/>
          <w:vertAlign w:val="superscript"/>
        </w:rPr>
        <w:t>8</w:t>
      </w:r>
      <w:r w:rsidRPr="001823ED">
        <w:rPr>
          <w:b/>
          <w:vertAlign w:val="superscript"/>
        </w:rPr>
        <w:fldChar w:fldCharType="end"/>
      </w:r>
    </w:p>
    <w:p w14:paraId="42CBBA4A" w14:textId="77777777" w:rsidR="00A35045" w:rsidRPr="001823ED" w:rsidRDefault="00A35045" w:rsidP="00A35045">
      <w:pPr>
        <w:widowControl w:val="0"/>
        <w:rPr>
          <w:noProof/>
        </w:rPr>
      </w:pPr>
    </w:p>
    <w:tbl>
      <w:tblPr>
        <w:tblStyle w:val="TableGrid"/>
        <w:tblW w:w="0" w:type="auto"/>
        <w:tblLook w:val="04A0" w:firstRow="1" w:lastRow="0" w:firstColumn="1" w:lastColumn="0" w:noHBand="0" w:noVBand="1"/>
      </w:tblPr>
      <w:tblGrid>
        <w:gridCol w:w="4702"/>
        <w:gridCol w:w="4360"/>
      </w:tblGrid>
      <w:tr w:rsidR="00A35045" w:rsidRPr="001823ED" w14:paraId="1F8EEF10" w14:textId="77777777" w:rsidTr="00502205">
        <w:tc>
          <w:tcPr>
            <w:tcW w:w="4702" w:type="dxa"/>
          </w:tcPr>
          <w:p w14:paraId="1CB67670" w14:textId="77777777" w:rsidR="00A35045" w:rsidRPr="001823ED" w:rsidRDefault="00A35045" w:rsidP="001823ED">
            <w:pPr>
              <w:pStyle w:val="Table"/>
              <w:widowControl w:val="0"/>
              <w:jc w:val="left"/>
              <w:rPr>
                <w:rFonts w:asciiTheme="minorHAnsi" w:hAnsiTheme="minorHAnsi"/>
                <w:b/>
                <w:bCs/>
                <w:lang w:val="en-GB"/>
              </w:rPr>
            </w:pPr>
            <w:r w:rsidRPr="001823ED">
              <w:rPr>
                <w:rFonts w:asciiTheme="minorHAnsi" w:hAnsiTheme="minorHAnsi"/>
                <w:b/>
                <w:bCs/>
                <w:lang w:val="en-GB"/>
              </w:rPr>
              <w:t>Item required</w:t>
            </w:r>
          </w:p>
        </w:tc>
        <w:tc>
          <w:tcPr>
            <w:tcW w:w="4360" w:type="dxa"/>
          </w:tcPr>
          <w:p w14:paraId="1EEA5A17" w14:textId="3CE2F0F4" w:rsidR="00A35045" w:rsidRPr="001823ED" w:rsidRDefault="00502205" w:rsidP="001823ED">
            <w:pPr>
              <w:pStyle w:val="Table"/>
              <w:widowControl w:val="0"/>
              <w:jc w:val="left"/>
              <w:rPr>
                <w:rFonts w:asciiTheme="minorHAnsi" w:hAnsiTheme="minorHAnsi"/>
                <w:b/>
                <w:bCs/>
                <w:lang w:val="en-GB"/>
              </w:rPr>
            </w:pPr>
            <w:r>
              <w:rPr>
                <w:rFonts w:asciiTheme="minorHAnsi" w:hAnsiTheme="minorHAnsi"/>
                <w:b/>
                <w:bCs/>
                <w:lang w:val="en-GB"/>
              </w:rPr>
              <w:t xml:space="preserve">Location within manuscript, </w:t>
            </w:r>
            <w:r w:rsidR="00A35045" w:rsidRPr="001823ED">
              <w:rPr>
                <w:rFonts w:asciiTheme="minorHAnsi" w:hAnsiTheme="minorHAnsi"/>
                <w:b/>
                <w:bCs/>
                <w:lang w:val="en-GB"/>
              </w:rPr>
              <w:t>or reason for absence</w:t>
            </w:r>
          </w:p>
        </w:tc>
      </w:tr>
      <w:tr w:rsidR="00A35045" w:rsidRPr="001823ED" w14:paraId="6B8DF99E" w14:textId="77777777" w:rsidTr="00502205">
        <w:trPr>
          <w:trHeight w:val="289"/>
        </w:trPr>
        <w:tc>
          <w:tcPr>
            <w:tcW w:w="4702" w:type="dxa"/>
            <w:shd w:val="clear" w:color="auto" w:fill="D9D9D9" w:themeFill="background1" w:themeFillShade="D9"/>
          </w:tcPr>
          <w:p w14:paraId="4975EFF6" w14:textId="77777777" w:rsidR="00A35045" w:rsidRPr="001823ED" w:rsidRDefault="00A35045" w:rsidP="001823ED">
            <w:pPr>
              <w:pStyle w:val="Table"/>
              <w:widowControl w:val="0"/>
              <w:jc w:val="left"/>
              <w:rPr>
                <w:rFonts w:asciiTheme="minorHAnsi" w:hAnsiTheme="minorHAnsi"/>
                <w:b/>
                <w:bCs/>
                <w:lang w:val="en-GB"/>
              </w:rPr>
            </w:pPr>
            <w:r w:rsidRPr="001823ED">
              <w:rPr>
                <w:rFonts w:asciiTheme="minorHAnsi" w:hAnsiTheme="minorHAnsi"/>
                <w:b/>
                <w:bCs/>
                <w:lang w:val="en-GB"/>
              </w:rPr>
              <w:t>Essential</w:t>
            </w:r>
          </w:p>
        </w:tc>
        <w:tc>
          <w:tcPr>
            <w:tcW w:w="4360" w:type="dxa"/>
            <w:shd w:val="clear" w:color="auto" w:fill="D9D9D9" w:themeFill="background1" w:themeFillShade="D9"/>
          </w:tcPr>
          <w:p w14:paraId="4C837E38" w14:textId="77777777" w:rsidR="00A35045" w:rsidRPr="001823ED" w:rsidRDefault="00A35045" w:rsidP="001823ED">
            <w:pPr>
              <w:pStyle w:val="Table"/>
              <w:widowControl w:val="0"/>
              <w:jc w:val="left"/>
              <w:rPr>
                <w:rFonts w:asciiTheme="minorHAnsi" w:hAnsiTheme="minorHAnsi"/>
                <w:lang w:val="en-GB"/>
              </w:rPr>
            </w:pPr>
          </w:p>
        </w:tc>
      </w:tr>
      <w:tr w:rsidR="00A35045" w:rsidRPr="001823ED" w14:paraId="38EFBBCD" w14:textId="77777777" w:rsidTr="00502205">
        <w:tc>
          <w:tcPr>
            <w:tcW w:w="4702" w:type="dxa"/>
            <w:vAlign w:val="center"/>
          </w:tcPr>
          <w:p w14:paraId="40AE02F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Age</w:t>
            </w:r>
          </w:p>
        </w:tc>
        <w:tc>
          <w:tcPr>
            <w:tcW w:w="4360" w:type="dxa"/>
            <w:vAlign w:val="center"/>
          </w:tcPr>
          <w:p w14:paraId="6EB5364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6CB5A26C" w14:textId="77777777" w:rsidTr="00502205">
        <w:tc>
          <w:tcPr>
            <w:tcW w:w="4702" w:type="dxa"/>
            <w:vAlign w:val="center"/>
          </w:tcPr>
          <w:p w14:paraId="60046CEE"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Race/ethnicity</w:t>
            </w:r>
          </w:p>
        </w:tc>
        <w:tc>
          <w:tcPr>
            <w:tcW w:w="4360" w:type="dxa"/>
            <w:vAlign w:val="center"/>
          </w:tcPr>
          <w:p w14:paraId="24D3CEE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58375584" w14:textId="77777777" w:rsidTr="00502205">
        <w:tc>
          <w:tcPr>
            <w:tcW w:w="4702" w:type="dxa"/>
            <w:vAlign w:val="center"/>
          </w:tcPr>
          <w:p w14:paraId="0F250B0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Parity</w:t>
            </w:r>
          </w:p>
        </w:tc>
        <w:tc>
          <w:tcPr>
            <w:tcW w:w="4360" w:type="dxa"/>
            <w:vAlign w:val="center"/>
          </w:tcPr>
          <w:p w14:paraId="1B243CA5"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60176EBA" w14:textId="77777777" w:rsidTr="00502205">
        <w:tc>
          <w:tcPr>
            <w:tcW w:w="4702" w:type="dxa"/>
            <w:vAlign w:val="center"/>
          </w:tcPr>
          <w:p w14:paraId="5DD87F0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BMI</w:t>
            </w:r>
          </w:p>
        </w:tc>
        <w:tc>
          <w:tcPr>
            <w:tcW w:w="4360" w:type="dxa"/>
            <w:vAlign w:val="center"/>
          </w:tcPr>
          <w:p w14:paraId="558EBDE2"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0BDB0DB2" w14:textId="77777777" w:rsidTr="00502205">
        <w:tc>
          <w:tcPr>
            <w:tcW w:w="4702" w:type="dxa"/>
            <w:vAlign w:val="center"/>
          </w:tcPr>
          <w:p w14:paraId="7DFFB76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Smoking status</w:t>
            </w:r>
          </w:p>
        </w:tc>
        <w:tc>
          <w:tcPr>
            <w:tcW w:w="4360" w:type="dxa"/>
            <w:vAlign w:val="center"/>
          </w:tcPr>
          <w:p w14:paraId="562CB2F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704ABC7A" w14:textId="77777777" w:rsidTr="00502205">
        <w:tc>
          <w:tcPr>
            <w:tcW w:w="4702" w:type="dxa"/>
            <w:vAlign w:val="center"/>
          </w:tcPr>
          <w:p w14:paraId="6DA9163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History of sexual transmitted infection</w:t>
            </w:r>
          </w:p>
        </w:tc>
        <w:tc>
          <w:tcPr>
            <w:tcW w:w="4360" w:type="dxa"/>
            <w:vAlign w:val="center"/>
          </w:tcPr>
          <w:p w14:paraId="0AC630C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not collected</w:t>
            </w:r>
          </w:p>
        </w:tc>
      </w:tr>
      <w:tr w:rsidR="00A35045" w:rsidRPr="001823ED" w14:paraId="47948A00" w14:textId="77777777" w:rsidTr="00502205">
        <w:tc>
          <w:tcPr>
            <w:tcW w:w="4702" w:type="dxa"/>
            <w:vAlign w:val="center"/>
          </w:tcPr>
          <w:p w14:paraId="7E2D814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History of PTB</w:t>
            </w:r>
          </w:p>
        </w:tc>
        <w:tc>
          <w:tcPr>
            <w:tcW w:w="4360" w:type="dxa"/>
            <w:vAlign w:val="center"/>
          </w:tcPr>
          <w:p w14:paraId="32C4EBBD"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0199B10D" w14:textId="77777777" w:rsidTr="00502205">
        <w:tc>
          <w:tcPr>
            <w:tcW w:w="4702" w:type="dxa"/>
            <w:vAlign w:val="center"/>
          </w:tcPr>
          <w:p w14:paraId="287F01C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Indication of previous PTB</w:t>
            </w:r>
          </w:p>
        </w:tc>
        <w:tc>
          <w:tcPr>
            <w:tcW w:w="4360" w:type="dxa"/>
            <w:vAlign w:val="center"/>
          </w:tcPr>
          <w:p w14:paraId="2B734E90" w14:textId="737A4C02"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All previous PTB either sPTB &lt;34 weeks or after PPROM &lt;34 weeks. Details in Table A</w:t>
            </w:r>
            <w:r w:rsidR="006E40B4">
              <w:rPr>
                <w:rFonts w:asciiTheme="minorHAnsi" w:hAnsiTheme="minorHAnsi"/>
                <w:lang w:val="en-GB"/>
              </w:rPr>
              <w:t>2</w:t>
            </w:r>
          </w:p>
        </w:tc>
      </w:tr>
      <w:tr w:rsidR="00A35045" w:rsidRPr="001823ED" w14:paraId="368DB028" w14:textId="77777777" w:rsidTr="00502205">
        <w:tc>
          <w:tcPr>
            <w:tcW w:w="4702" w:type="dxa"/>
            <w:vAlign w:val="center"/>
          </w:tcPr>
          <w:p w14:paraId="0029DED2"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on included singleton/multiple pregnancy</w:t>
            </w:r>
          </w:p>
        </w:tc>
        <w:tc>
          <w:tcPr>
            <w:tcW w:w="4360" w:type="dxa"/>
            <w:vAlign w:val="center"/>
          </w:tcPr>
          <w:p w14:paraId="6155E060"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All singleton pregnancies (main document, methods)</w:t>
            </w:r>
          </w:p>
        </w:tc>
      </w:tr>
      <w:tr w:rsidR="00A35045" w:rsidRPr="001823ED" w14:paraId="3736804D" w14:textId="77777777" w:rsidTr="00502205">
        <w:tc>
          <w:tcPr>
            <w:tcW w:w="4702" w:type="dxa"/>
            <w:vAlign w:val="center"/>
          </w:tcPr>
          <w:p w14:paraId="74ABC47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﻿Exclusion of other complications in pregnancy leading to PTB</w:t>
            </w:r>
          </w:p>
        </w:tc>
        <w:tc>
          <w:tcPr>
            <w:tcW w:w="4360" w:type="dxa"/>
            <w:vAlign w:val="center"/>
          </w:tcPr>
          <w:p w14:paraId="7C9D3CE8"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Study team excluded other causes of PTB (Figure 1 and main document, methods)</w:t>
            </w:r>
          </w:p>
        </w:tc>
      </w:tr>
      <w:tr w:rsidR="00A35045" w:rsidRPr="001823ED" w14:paraId="1735AC1E" w14:textId="77777777" w:rsidTr="00502205">
        <w:tc>
          <w:tcPr>
            <w:tcW w:w="4702" w:type="dxa"/>
            <w:vAlign w:val="center"/>
          </w:tcPr>
          <w:p w14:paraId="40E4D2B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on use of antibiotics before sampling</w:t>
            </w:r>
          </w:p>
        </w:tc>
        <w:tc>
          <w:tcPr>
            <w:tcW w:w="4360" w:type="dxa"/>
            <w:vAlign w:val="center"/>
          </w:tcPr>
          <w:p w14:paraId="257511B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34DC05E7" w14:textId="77777777" w:rsidTr="00502205">
        <w:tc>
          <w:tcPr>
            <w:tcW w:w="4702" w:type="dxa"/>
            <w:vAlign w:val="center"/>
          </w:tcPr>
          <w:p w14:paraId="0118C070"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on use of antibiotics after sampling</w:t>
            </w:r>
          </w:p>
        </w:tc>
        <w:tc>
          <w:tcPr>
            <w:tcW w:w="4360" w:type="dxa"/>
            <w:vAlign w:val="center"/>
          </w:tcPr>
          <w:p w14:paraId="2D9B2B61"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Data not collected</w:t>
            </w:r>
          </w:p>
        </w:tc>
      </w:tr>
      <w:tr w:rsidR="00A35045" w:rsidRPr="001823ED" w14:paraId="2E015E96" w14:textId="77777777" w:rsidTr="00502205">
        <w:tc>
          <w:tcPr>
            <w:tcW w:w="4702" w:type="dxa"/>
            <w:vAlign w:val="center"/>
          </w:tcPr>
          <w:p w14:paraId="77DB2FD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﻿Adequate assessment of gestational age</w:t>
            </w:r>
          </w:p>
        </w:tc>
        <w:tc>
          <w:tcPr>
            <w:tcW w:w="4360" w:type="dxa"/>
            <w:vAlign w:val="center"/>
          </w:tcPr>
          <w:p w14:paraId="2EC7472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All pregnancies had ‘dating’ scan prior to 14 weeks gestation (Appendix A, supplemental methods)</w:t>
            </w:r>
          </w:p>
        </w:tc>
      </w:tr>
      <w:tr w:rsidR="00A35045" w:rsidRPr="001823ED" w14:paraId="4B7D0A51" w14:textId="77777777" w:rsidTr="00502205">
        <w:tc>
          <w:tcPr>
            <w:tcW w:w="4702" w:type="dxa"/>
            <w:vAlign w:val="center"/>
          </w:tcPr>
          <w:p w14:paraId="05967BE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﻿Gestational age at sampling</w:t>
            </w:r>
          </w:p>
        </w:tc>
        <w:tc>
          <w:tcPr>
            <w:tcW w:w="4360" w:type="dxa"/>
            <w:vAlign w:val="center"/>
          </w:tcPr>
          <w:p w14:paraId="791C3DD5"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1337F284" w14:textId="77777777" w:rsidTr="00502205">
        <w:tc>
          <w:tcPr>
            <w:tcW w:w="4702" w:type="dxa"/>
            <w:vAlign w:val="center"/>
          </w:tcPr>
          <w:p w14:paraId="17019BA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﻿Single or longitudinal sampling</w:t>
            </w:r>
          </w:p>
        </w:tc>
        <w:tc>
          <w:tcPr>
            <w:tcW w:w="4360" w:type="dxa"/>
            <w:vAlign w:val="center"/>
          </w:tcPr>
          <w:p w14:paraId="33BDCB95"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Main document, methods</w:t>
            </w:r>
          </w:p>
        </w:tc>
      </w:tr>
      <w:tr w:rsidR="00A35045" w:rsidRPr="001823ED" w14:paraId="4BDDCB73" w14:textId="77777777" w:rsidTr="00502205">
        <w:tc>
          <w:tcPr>
            <w:tcW w:w="4702" w:type="dxa"/>
            <w:vAlign w:val="center"/>
          </w:tcPr>
          <w:p w14:paraId="645F6E32"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on primary swab</w:t>
            </w:r>
          </w:p>
        </w:tc>
        <w:tc>
          <w:tcPr>
            <w:tcW w:w="4360" w:type="dxa"/>
            <w:vAlign w:val="center"/>
          </w:tcPr>
          <w:p w14:paraId="3C134F81"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HydraFlock standard tapered swabs,  (Medical Wire and Equipment, Corsham, England)</w:t>
            </w:r>
          </w:p>
        </w:tc>
      </w:tr>
      <w:tr w:rsidR="00A35045" w:rsidRPr="001823ED" w14:paraId="4DAA37E5" w14:textId="77777777" w:rsidTr="00502205">
        <w:tc>
          <w:tcPr>
            <w:tcW w:w="4702" w:type="dxa"/>
            <w:vAlign w:val="center"/>
          </w:tcPr>
          <w:p w14:paraId="16D2CE7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Sample location</w:t>
            </w:r>
          </w:p>
        </w:tc>
        <w:tc>
          <w:tcPr>
            <w:tcW w:w="4360" w:type="dxa"/>
            <w:vAlign w:val="center"/>
          </w:tcPr>
          <w:p w14:paraId="3047CDAD"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All swabs taken and stored at Liverpool Women’s Hospital, UK</w:t>
            </w:r>
          </w:p>
        </w:tc>
      </w:tr>
      <w:tr w:rsidR="00A35045" w:rsidRPr="001823ED" w14:paraId="435164F3" w14:textId="77777777" w:rsidTr="00502205">
        <w:tc>
          <w:tcPr>
            <w:tcW w:w="4702" w:type="dxa"/>
            <w:vAlign w:val="center"/>
          </w:tcPr>
          <w:p w14:paraId="162F2210"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﻿Information on primers used</w:t>
            </w:r>
          </w:p>
        </w:tc>
        <w:tc>
          <w:tcPr>
            <w:tcW w:w="4360" w:type="dxa"/>
            <w:vAlign w:val="center"/>
          </w:tcPr>
          <w:p w14:paraId="293A796F"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Appendix A ‘PCR amplification and 16S rRNA gene sequencing’ section</w:t>
            </w:r>
          </w:p>
        </w:tc>
      </w:tr>
      <w:tr w:rsidR="00A35045" w:rsidRPr="001823ED" w14:paraId="6B34305E" w14:textId="77777777" w:rsidTr="00502205">
        <w:tc>
          <w:tcPr>
            <w:tcW w:w="4702" w:type="dxa"/>
            <w:vAlign w:val="center"/>
          </w:tcPr>
          <w:p w14:paraId="249A9F0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﻿Range of bacteria covered by primers</w:t>
            </w:r>
          </w:p>
        </w:tc>
        <w:tc>
          <w:tcPr>
            <w:tcW w:w="4360" w:type="dxa"/>
            <w:vAlign w:val="center"/>
          </w:tcPr>
          <w:p w14:paraId="5AD2FCAC" w14:textId="7AA1D819" w:rsidR="00A35045" w:rsidRPr="001823ED" w:rsidRDefault="00A35045" w:rsidP="001823ED">
            <w:pPr>
              <w:pStyle w:val="Table"/>
              <w:widowControl w:val="0"/>
              <w:jc w:val="left"/>
              <w:rPr>
                <w:rFonts w:asciiTheme="minorHAnsi" w:hAnsiTheme="minorHAnsi"/>
                <w:i/>
                <w:iCs/>
                <w:lang w:val="en-GB"/>
              </w:rPr>
            </w:pPr>
            <w:r w:rsidRPr="001823ED">
              <w:rPr>
                <w:rFonts w:asciiTheme="minorHAnsi" w:hAnsiTheme="minorHAnsi"/>
                <w:lang w:val="en-GB"/>
              </w:rPr>
              <w:t xml:space="preserve">Good coverage of vaginal microbiota, as described by Van der Pol </w:t>
            </w:r>
            <w:r w:rsidRPr="001823ED">
              <w:rPr>
                <w:rFonts w:asciiTheme="minorHAnsi" w:hAnsiTheme="minorHAnsi"/>
                <w:i/>
                <w:iCs/>
                <w:lang w:val="en-GB"/>
              </w:rPr>
              <w:t>et al</w:t>
            </w:r>
            <w:r w:rsidRPr="001823ED">
              <w:rPr>
                <w:rFonts w:asciiTheme="minorHAnsi" w:hAnsiTheme="minorHAnsi"/>
                <w:i/>
                <w:iCs/>
              </w:rPr>
              <w:fldChar w:fldCharType="begin" w:fldLock="1"/>
            </w:r>
            <w:r w:rsidR="005136FD">
              <w:rPr>
                <w:rFonts w:asciiTheme="minorHAnsi" w:hAnsiTheme="minorHAnsi"/>
                <w:i/>
                <w:iCs/>
                <w:lang w:val="en-GB"/>
              </w:rPr>
              <w:instrText>ADDIN CSL_CITATION {"citationItems":[{"id":"ITEM-1","itemData":{"DOI":"10.1093/infdis/jiy508","ISSN":"15376613","PMID":"30535155","abstract":"Background Identification of bacteria in human vaginal specimens is commonly performed using 16S ribosomal RNA (rRNA) gene sequences. However, studies utilize different 16S primer sets, sequence databases, and parameters for sample and database clustering. Our goal was to assess the ability of these methods to detect common species of vaginal bacteria. Methods We performed an in silico analysis of 16S rRNA gene primer sets, targeting different hypervariable regions. Using vaginal samples from women with bacterial vaginosis, we sequenced 16S genes using the V1-V3, V3-V4, and V4 primer sets. For analysis, we used an extended Greengenes database including 16S gene sequences from vaginal bacteria not already present. We compared results with those obtained using the SILVA 16S database. Using multiple database and sample clustering parameters, each primer set's ability to detect common vaginal bacteria at the species level was determined. We also compared these methods to the use of DADA2 for denoising and clustering of sequence reads. Results V4 sequence reads clustered at 99% identity and using the 99% clustered, extended Greengenes database provided optimal species-level identification of vaginal bacteria. Conclusions This study is a first step toward standardizing methods for 16S rRNA gene sequencing and bioinformatics analysis of vaginal microbiome data.","author":[{"dropping-particle":"","family":"Pol","given":"William J.","non-dropping-particle":"Van Der","parse-names":false,"suffix":""},{"dropping-particle":"","family":"Kumar","given":"Ranjit","non-dropping-particle":"","parse-names":false,"suffix":""},{"dropping-particle":"","family":"Morrow","given":"Casey D.","non-dropping-particle":"","parse-names":false,"suffix":""},{"dropping-particle":"","family":"Blanchard","given":"Eugene E.","non-dropping-particle":"","parse-names":false,"suffix":""},{"dropping-particle":"","family":"Taylor","given":"Christopher M.","non-dropping-particle":"","parse-names":false,"suffix":""},{"dropping-particle":"","family":"Martin","given":"David H.","non-dropping-particle":"","parse-names":false,"suffix":""},{"dropping-particle":"","family":"Lefkowitz","given":"Elliot J.","non-dropping-particle":"","parse-names":false,"suffix":""},{"dropping-particle":"","family":"Muzny","given":"Christina A.","non-dropping-particle":"","parse-names":false,"suffix":""}],"container-title":"Journal of Infectious Diseases","id":"ITEM-1","issue":"2","issued":{"date-parts":[["2019"]]},"page":"305-314","title":"In Silico and Experimental Evaluation of Primer Sets for Species-Level Resolution of the Vaginal Microbiota Using 16S Ribosomal RNA Gene Sequencing","type":"article-journal","volume":"219"},"uris":["http://www.mendeley.com/documents/?uuid=141e7712-b3db-44fe-88d8-943caeb09400"]}],"mendeley":{"formattedCitation":"&lt;sup&gt;40&lt;/sup&gt;","plainTextFormattedCitation":"40","previouslyFormattedCitation":"&lt;sup&gt;41&lt;/sup&gt;"},"properties":{"noteIndex":0},"schema":"https://github.com/citation-style-language/schema/raw/master/csl-citation.json"}</w:instrText>
            </w:r>
            <w:r w:rsidRPr="001823ED">
              <w:rPr>
                <w:rFonts w:asciiTheme="minorHAnsi" w:hAnsiTheme="minorHAnsi"/>
                <w:i/>
                <w:iCs/>
              </w:rPr>
              <w:fldChar w:fldCharType="separate"/>
            </w:r>
            <w:r w:rsidR="005136FD" w:rsidRPr="005136FD">
              <w:rPr>
                <w:rFonts w:asciiTheme="minorHAnsi" w:hAnsiTheme="minorHAnsi"/>
                <w:iCs/>
                <w:vertAlign w:val="superscript"/>
                <w:lang w:val="en-GB"/>
              </w:rPr>
              <w:t>40</w:t>
            </w:r>
            <w:r w:rsidRPr="001823ED">
              <w:rPr>
                <w:rFonts w:asciiTheme="minorHAnsi" w:hAnsiTheme="minorHAnsi"/>
                <w:i/>
                <w:iCs/>
              </w:rPr>
              <w:fldChar w:fldCharType="end"/>
            </w:r>
          </w:p>
        </w:tc>
      </w:tr>
      <w:tr w:rsidR="00A35045" w:rsidRPr="001823ED" w14:paraId="4F54DC2C" w14:textId="77777777" w:rsidTr="00502205">
        <w:tc>
          <w:tcPr>
            <w:tcW w:w="4702" w:type="dxa"/>
            <w:vAlign w:val="center"/>
          </w:tcPr>
          <w:p w14:paraId="4C3076D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Attrition record</w:t>
            </w:r>
          </w:p>
        </w:tc>
        <w:tc>
          <w:tcPr>
            <w:tcW w:w="4360" w:type="dxa"/>
            <w:vAlign w:val="center"/>
          </w:tcPr>
          <w:p w14:paraId="7A4BF722"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Figure 1</w:t>
            </w:r>
          </w:p>
        </w:tc>
      </w:tr>
      <w:tr w:rsidR="00A35045" w:rsidRPr="001823ED" w14:paraId="05FB287A" w14:textId="77777777" w:rsidTr="00502205">
        <w:tc>
          <w:tcPr>
            <w:tcW w:w="4702" w:type="dxa"/>
            <w:vAlign w:val="center"/>
          </w:tcPr>
          <w:p w14:paraId="058F518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Statement of outcome measures</w:t>
            </w:r>
          </w:p>
        </w:tc>
        <w:tc>
          <w:tcPr>
            <w:tcW w:w="4360" w:type="dxa"/>
            <w:vAlign w:val="center"/>
          </w:tcPr>
          <w:p w14:paraId="6637CE88"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Main document, Methods and Appendix A ‘Vaginal microbiota characterisation’</w:t>
            </w:r>
          </w:p>
        </w:tc>
      </w:tr>
      <w:tr w:rsidR="00A35045" w:rsidRPr="001823ED" w14:paraId="42E3E8B0" w14:textId="77777777" w:rsidTr="00502205">
        <w:tc>
          <w:tcPr>
            <w:tcW w:w="4702" w:type="dxa"/>
            <w:vAlign w:val="center"/>
          </w:tcPr>
          <w:p w14:paraId="0F4C877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Definition of PTB</w:t>
            </w:r>
          </w:p>
        </w:tc>
        <w:tc>
          <w:tcPr>
            <w:tcW w:w="4360" w:type="dxa"/>
            <w:vAlign w:val="center"/>
          </w:tcPr>
          <w:p w14:paraId="05F5D47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Main document ‘Study population’</w:t>
            </w:r>
          </w:p>
        </w:tc>
      </w:tr>
      <w:tr w:rsidR="00A35045" w:rsidRPr="001823ED" w14:paraId="74369747" w14:textId="77777777" w:rsidTr="00502205">
        <w:tc>
          <w:tcPr>
            <w:tcW w:w="4702" w:type="dxa"/>
            <w:vAlign w:val="center"/>
          </w:tcPr>
          <w:p w14:paraId="3C628885"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Indication for PTB of index pregnancy</w:t>
            </w:r>
          </w:p>
        </w:tc>
        <w:tc>
          <w:tcPr>
            <w:tcW w:w="4360" w:type="dxa"/>
            <w:vAlign w:val="center"/>
          </w:tcPr>
          <w:p w14:paraId="2B1C355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4C1783A1" w14:textId="77777777" w:rsidTr="00502205">
        <w:tc>
          <w:tcPr>
            <w:tcW w:w="4702" w:type="dxa"/>
            <w:vAlign w:val="center"/>
          </w:tcPr>
          <w:p w14:paraId="6D566EB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Stratification of PTB by phenotype</w:t>
            </w:r>
          </w:p>
        </w:tc>
        <w:tc>
          <w:tcPr>
            <w:tcW w:w="4360" w:type="dxa"/>
            <w:vAlign w:val="center"/>
          </w:tcPr>
          <w:p w14:paraId="27E30A86"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Attempted, but as described in limitations no difference identified and data presented as a whole to improve readability and statistical power</w:t>
            </w:r>
          </w:p>
        </w:tc>
      </w:tr>
      <w:tr w:rsidR="00A35045" w:rsidRPr="001823ED" w14:paraId="5DE41352" w14:textId="77777777" w:rsidTr="00502205">
        <w:tc>
          <w:tcPr>
            <w:tcW w:w="4702" w:type="dxa"/>
            <w:vAlign w:val="center"/>
          </w:tcPr>
          <w:p w14:paraId="3D21A63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Races/ethncities analysed separately</w:t>
            </w:r>
          </w:p>
        </w:tc>
        <w:tc>
          <w:tcPr>
            <w:tcW w:w="4360" w:type="dxa"/>
            <w:vAlign w:val="center"/>
          </w:tcPr>
          <w:p w14:paraId="4EF3111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 xml:space="preserve">Not applicable because over 90% of population white. </w:t>
            </w:r>
          </w:p>
        </w:tc>
      </w:tr>
      <w:tr w:rsidR="00A35045" w:rsidRPr="001823ED" w14:paraId="1EB41AAB" w14:textId="77777777" w:rsidTr="00502205">
        <w:tc>
          <w:tcPr>
            <w:tcW w:w="4702" w:type="dxa"/>
            <w:vAlign w:val="center"/>
          </w:tcPr>
          <w:p w14:paraId="11C61AD1"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﻿Analysis of Lactobacilli to species level</w:t>
            </w:r>
          </w:p>
        </w:tc>
        <w:tc>
          <w:tcPr>
            <w:tcW w:w="4360" w:type="dxa"/>
            <w:vAlign w:val="center"/>
          </w:tcPr>
          <w:p w14:paraId="77FF7839" w14:textId="7C540C14"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Tables 2,3 A</w:t>
            </w:r>
            <w:r w:rsidR="008766CE">
              <w:rPr>
                <w:rFonts w:asciiTheme="minorHAnsi" w:hAnsiTheme="minorHAnsi"/>
                <w:lang w:val="en-GB"/>
              </w:rPr>
              <w:t>3</w:t>
            </w:r>
          </w:p>
        </w:tc>
      </w:tr>
      <w:tr w:rsidR="00A35045" w:rsidRPr="001823ED" w14:paraId="607EE5BC" w14:textId="77777777" w:rsidTr="00502205">
        <w:tc>
          <w:tcPr>
            <w:tcW w:w="4702" w:type="dxa"/>
            <w:vAlign w:val="center"/>
          </w:tcPr>
          <w:p w14:paraId="7E6FE49D"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﻿Other interventions for PTB excluded (eg cerclage, pessary)</w:t>
            </w:r>
          </w:p>
        </w:tc>
        <w:tc>
          <w:tcPr>
            <w:tcW w:w="4360" w:type="dxa"/>
            <w:vAlign w:val="center"/>
          </w:tcPr>
          <w:p w14:paraId="25A25AB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Women with interventions for PTB not eligible for recruitment. Participants with interventions after VMB analysis are included, as discussed in limitations section</w:t>
            </w:r>
          </w:p>
        </w:tc>
      </w:tr>
    </w:tbl>
    <w:p w14:paraId="7818D349" w14:textId="77777777" w:rsidR="00502205" w:rsidRDefault="00502205">
      <w:r>
        <w:br w:type="page"/>
      </w:r>
    </w:p>
    <w:tbl>
      <w:tblPr>
        <w:tblStyle w:val="TableGrid"/>
        <w:tblW w:w="0" w:type="auto"/>
        <w:tblLook w:val="04A0" w:firstRow="1" w:lastRow="0" w:firstColumn="1" w:lastColumn="0" w:noHBand="0" w:noVBand="1"/>
      </w:tblPr>
      <w:tblGrid>
        <w:gridCol w:w="4702"/>
        <w:gridCol w:w="4360"/>
      </w:tblGrid>
      <w:tr w:rsidR="00A35045" w:rsidRPr="001823ED" w14:paraId="3C5072FE" w14:textId="77777777" w:rsidTr="00502205">
        <w:tc>
          <w:tcPr>
            <w:tcW w:w="4702" w:type="dxa"/>
            <w:shd w:val="clear" w:color="auto" w:fill="D9D9D9" w:themeFill="background1" w:themeFillShade="D9"/>
            <w:vAlign w:val="center"/>
          </w:tcPr>
          <w:p w14:paraId="7F405388" w14:textId="69E1020E" w:rsidR="00A35045" w:rsidRPr="001823ED" w:rsidRDefault="00A35045" w:rsidP="001823ED">
            <w:pPr>
              <w:pStyle w:val="Table"/>
              <w:widowControl w:val="0"/>
              <w:jc w:val="left"/>
              <w:rPr>
                <w:rFonts w:asciiTheme="minorHAnsi" w:hAnsiTheme="minorHAnsi"/>
                <w:b/>
                <w:bCs/>
                <w:lang w:val="en-GB"/>
              </w:rPr>
            </w:pPr>
            <w:r w:rsidRPr="001823ED">
              <w:rPr>
                <w:rFonts w:asciiTheme="minorHAnsi" w:hAnsiTheme="minorHAnsi"/>
                <w:b/>
                <w:bCs/>
                <w:lang w:val="en-GB"/>
              </w:rPr>
              <w:lastRenderedPageBreak/>
              <w:t>Desirable</w:t>
            </w:r>
          </w:p>
        </w:tc>
        <w:tc>
          <w:tcPr>
            <w:tcW w:w="4360" w:type="dxa"/>
            <w:shd w:val="clear" w:color="auto" w:fill="D9D9D9" w:themeFill="background1" w:themeFillShade="D9"/>
            <w:vAlign w:val="center"/>
          </w:tcPr>
          <w:p w14:paraId="61D17A5F" w14:textId="77777777" w:rsidR="00A35045" w:rsidRPr="001823ED" w:rsidRDefault="00A35045" w:rsidP="001823ED">
            <w:pPr>
              <w:pStyle w:val="Table"/>
              <w:widowControl w:val="0"/>
              <w:jc w:val="left"/>
              <w:rPr>
                <w:rFonts w:asciiTheme="minorHAnsi" w:hAnsiTheme="minorHAnsi"/>
                <w:lang w:val="en-GB"/>
              </w:rPr>
            </w:pPr>
          </w:p>
        </w:tc>
      </w:tr>
      <w:tr w:rsidR="00A35045" w:rsidRPr="001823ED" w14:paraId="63C81239" w14:textId="77777777" w:rsidTr="00502205">
        <w:tc>
          <w:tcPr>
            <w:tcW w:w="4702" w:type="dxa"/>
            <w:vAlign w:val="center"/>
          </w:tcPr>
          <w:p w14:paraId="75584400"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Marital status</w:t>
            </w:r>
          </w:p>
        </w:tc>
        <w:tc>
          <w:tcPr>
            <w:tcW w:w="4360" w:type="dxa"/>
            <w:vAlign w:val="center"/>
          </w:tcPr>
          <w:p w14:paraId="5635AA0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collected</w:t>
            </w:r>
          </w:p>
        </w:tc>
      </w:tr>
      <w:tr w:rsidR="00A35045" w:rsidRPr="001823ED" w14:paraId="1C073F2C" w14:textId="77777777" w:rsidTr="00502205">
        <w:tc>
          <w:tcPr>
            <w:tcW w:w="4702" w:type="dxa"/>
            <w:vAlign w:val="center"/>
          </w:tcPr>
          <w:p w14:paraId="0D700C72"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Socioeconomic status</w:t>
            </w:r>
          </w:p>
        </w:tc>
        <w:tc>
          <w:tcPr>
            <w:tcW w:w="4360" w:type="dxa"/>
            <w:vAlign w:val="center"/>
          </w:tcPr>
          <w:p w14:paraId="1E9A2EEF" w14:textId="0DAA9C78"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A</w:t>
            </w:r>
            <w:r w:rsidR="008766CE">
              <w:rPr>
                <w:rFonts w:asciiTheme="minorHAnsi" w:hAnsiTheme="minorHAnsi"/>
                <w:lang w:val="en-GB"/>
              </w:rPr>
              <w:t>2</w:t>
            </w:r>
          </w:p>
        </w:tc>
      </w:tr>
      <w:tr w:rsidR="00A35045" w:rsidRPr="001823ED" w14:paraId="07B4E44A" w14:textId="77777777" w:rsidTr="00502205">
        <w:tc>
          <w:tcPr>
            <w:tcW w:w="4702" w:type="dxa"/>
            <w:vAlign w:val="center"/>
          </w:tcPr>
          <w:p w14:paraId="5D0F453D"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Alcohol use</w:t>
            </w:r>
          </w:p>
        </w:tc>
        <w:tc>
          <w:tcPr>
            <w:tcW w:w="4360" w:type="dxa"/>
            <w:vAlign w:val="center"/>
          </w:tcPr>
          <w:p w14:paraId="2DE00F3A"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collected</w:t>
            </w:r>
          </w:p>
        </w:tc>
      </w:tr>
      <w:tr w:rsidR="00A35045" w:rsidRPr="001823ED" w14:paraId="2E2C13CE" w14:textId="77777777" w:rsidTr="00502205">
        <w:tc>
          <w:tcPr>
            <w:tcW w:w="4702" w:type="dxa"/>
            <w:vAlign w:val="center"/>
          </w:tcPr>
          <w:p w14:paraId="41A6918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Substrance use</w:t>
            </w:r>
          </w:p>
        </w:tc>
        <w:tc>
          <w:tcPr>
            <w:tcW w:w="4360" w:type="dxa"/>
            <w:vAlign w:val="center"/>
          </w:tcPr>
          <w:p w14:paraId="2E2A7736"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collected</w:t>
            </w:r>
          </w:p>
        </w:tc>
      </w:tr>
      <w:tr w:rsidR="00A35045" w:rsidRPr="001823ED" w14:paraId="23216F2D" w14:textId="77777777" w:rsidTr="00502205">
        <w:tc>
          <w:tcPr>
            <w:tcW w:w="4702" w:type="dxa"/>
            <w:vAlign w:val="center"/>
          </w:tcPr>
          <w:p w14:paraId="6C00A0B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Gestational age of previous PTB</w:t>
            </w:r>
          </w:p>
        </w:tc>
        <w:tc>
          <w:tcPr>
            <w:tcW w:w="4360" w:type="dxa"/>
            <w:vAlign w:val="center"/>
          </w:tcPr>
          <w:p w14:paraId="6F22BFB5"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All previous PTB were sPTB or PPROM 16</w:t>
            </w:r>
            <w:r w:rsidRPr="001823ED">
              <w:rPr>
                <w:rFonts w:asciiTheme="minorHAnsi" w:hAnsiTheme="minorHAnsi"/>
                <w:vertAlign w:val="superscript"/>
                <w:lang w:val="en-GB"/>
              </w:rPr>
              <w:t>+0</w:t>
            </w:r>
            <w:r w:rsidRPr="001823ED">
              <w:rPr>
                <w:rFonts w:asciiTheme="minorHAnsi" w:hAnsiTheme="minorHAnsi"/>
                <w:lang w:val="en-GB"/>
              </w:rPr>
              <w:t xml:space="preserve"> -33</w:t>
            </w:r>
            <w:r w:rsidRPr="001823ED">
              <w:rPr>
                <w:rFonts w:asciiTheme="minorHAnsi" w:hAnsiTheme="minorHAnsi"/>
                <w:vertAlign w:val="superscript"/>
                <w:lang w:val="en-GB"/>
              </w:rPr>
              <w:t>+6</w:t>
            </w:r>
            <w:r w:rsidRPr="001823ED">
              <w:rPr>
                <w:rFonts w:asciiTheme="minorHAnsi" w:hAnsiTheme="minorHAnsi"/>
                <w:lang w:val="en-GB"/>
              </w:rPr>
              <w:t xml:space="preserve"> weeks</w:t>
            </w:r>
          </w:p>
        </w:tc>
      </w:tr>
      <w:tr w:rsidR="00A35045" w:rsidRPr="001823ED" w14:paraId="27A6E6BF" w14:textId="77777777" w:rsidTr="00502205">
        <w:tc>
          <w:tcPr>
            <w:tcW w:w="4702" w:type="dxa"/>
            <w:vAlign w:val="center"/>
          </w:tcPr>
          <w:p w14:paraId="54B2E4E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﻿History of late miscarriage</w:t>
            </w:r>
          </w:p>
        </w:tc>
        <w:tc>
          <w:tcPr>
            <w:tcW w:w="4360" w:type="dxa"/>
            <w:vAlign w:val="center"/>
          </w:tcPr>
          <w:p w14:paraId="6E03ECF8" w14:textId="1DC33064"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A</w:t>
            </w:r>
            <w:r w:rsidR="008766CE">
              <w:rPr>
                <w:rFonts w:asciiTheme="minorHAnsi" w:hAnsiTheme="minorHAnsi"/>
                <w:lang w:val="en-GB"/>
              </w:rPr>
              <w:t>2</w:t>
            </w:r>
          </w:p>
        </w:tc>
      </w:tr>
      <w:tr w:rsidR="00A35045" w:rsidRPr="001823ED" w14:paraId="630F6631" w14:textId="77777777" w:rsidTr="00502205">
        <w:tc>
          <w:tcPr>
            <w:tcW w:w="4702" w:type="dxa"/>
            <w:vAlign w:val="center"/>
          </w:tcPr>
          <w:p w14:paraId="48EF029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History of LLETZ</w:t>
            </w:r>
          </w:p>
        </w:tc>
        <w:tc>
          <w:tcPr>
            <w:tcW w:w="4360" w:type="dxa"/>
            <w:vAlign w:val="center"/>
          </w:tcPr>
          <w:p w14:paraId="1442D5C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069C0981" w14:textId="77777777" w:rsidTr="00502205">
        <w:tc>
          <w:tcPr>
            <w:tcW w:w="4702" w:type="dxa"/>
            <w:vAlign w:val="center"/>
          </w:tcPr>
          <w:p w14:paraId="60D0432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Date of last sexual intercourse prior to sampling</w:t>
            </w:r>
          </w:p>
        </w:tc>
        <w:tc>
          <w:tcPr>
            <w:tcW w:w="4360" w:type="dxa"/>
            <w:vAlign w:val="center"/>
          </w:tcPr>
          <w:p w14:paraId="30AD622C"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 xml:space="preserve">Appendix A “Participant recruitment” </w:t>
            </w:r>
          </w:p>
        </w:tc>
      </w:tr>
      <w:tr w:rsidR="00A35045" w:rsidRPr="001823ED" w14:paraId="1D219870" w14:textId="77777777" w:rsidTr="00502205">
        <w:tc>
          <w:tcPr>
            <w:tcW w:w="4702" w:type="dxa"/>
            <w:vAlign w:val="center"/>
          </w:tcPr>
          <w:p w14:paraId="2B255356"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Reported history of douching</w:t>
            </w:r>
          </w:p>
        </w:tc>
        <w:tc>
          <w:tcPr>
            <w:tcW w:w="4360" w:type="dxa"/>
            <w:vAlign w:val="center"/>
          </w:tcPr>
          <w:p w14:paraId="51FAC9EE"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collected</w:t>
            </w:r>
          </w:p>
        </w:tc>
      </w:tr>
      <w:tr w:rsidR="00A35045" w:rsidRPr="001823ED" w14:paraId="7BC75B0F" w14:textId="77777777" w:rsidTr="00502205">
        <w:tc>
          <w:tcPr>
            <w:tcW w:w="4702" w:type="dxa"/>
            <w:vAlign w:val="center"/>
          </w:tcPr>
          <w:p w14:paraId="2CE1C686"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Self collected or physician collected samples</w:t>
            </w:r>
          </w:p>
        </w:tc>
        <w:tc>
          <w:tcPr>
            <w:tcW w:w="4360" w:type="dxa"/>
            <w:vAlign w:val="center"/>
          </w:tcPr>
          <w:p w14:paraId="6C89C13E"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Physician collected, main document methods</w:t>
            </w:r>
          </w:p>
        </w:tc>
      </w:tr>
      <w:tr w:rsidR="00A35045" w:rsidRPr="001823ED" w14:paraId="6F98539D" w14:textId="77777777" w:rsidTr="00502205">
        <w:tc>
          <w:tcPr>
            <w:tcW w:w="4702" w:type="dxa"/>
            <w:vAlign w:val="center"/>
          </w:tcPr>
          <w:p w14:paraId="29FD5240"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Measurement of cervical length</w:t>
            </w:r>
          </w:p>
        </w:tc>
        <w:tc>
          <w:tcPr>
            <w:tcW w:w="4360" w:type="dxa"/>
            <w:vAlign w:val="center"/>
          </w:tcPr>
          <w:p w14:paraId="7649283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157F8025" w14:textId="77777777" w:rsidTr="00502205">
        <w:tc>
          <w:tcPr>
            <w:tcW w:w="4702" w:type="dxa"/>
            <w:vAlign w:val="center"/>
          </w:tcPr>
          <w:p w14:paraId="41CCB0A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Use of fetal fibronectin</w:t>
            </w:r>
          </w:p>
        </w:tc>
        <w:tc>
          <w:tcPr>
            <w:tcW w:w="4360" w:type="dxa"/>
            <w:vAlign w:val="center"/>
          </w:tcPr>
          <w:p w14:paraId="64A127C4"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Table 1</w:t>
            </w:r>
          </w:p>
        </w:tc>
      </w:tr>
      <w:tr w:rsidR="00A35045" w:rsidRPr="001823ED" w14:paraId="15AD43DB" w14:textId="77777777" w:rsidTr="00502205">
        <w:tc>
          <w:tcPr>
            <w:tcW w:w="4702" w:type="dxa"/>
            <w:vAlign w:val="center"/>
          </w:tcPr>
          <w:p w14:paraId="5763BB2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Measurement of pH</w:t>
            </w:r>
          </w:p>
        </w:tc>
        <w:tc>
          <w:tcPr>
            <w:tcW w:w="4360" w:type="dxa"/>
            <w:vAlign w:val="center"/>
          </w:tcPr>
          <w:p w14:paraId="28105583"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collected</w:t>
            </w:r>
          </w:p>
        </w:tc>
      </w:tr>
      <w:tr w:rsidR="00A35045" w:rsidRPr="001823ED" w14:paraId="4FA9373E" w14:textId="77777777" w:rsidTr="00502205">
        <w:tc>
          <w:tcPr>
            <w:tcW w:w="4702" w:type="dxa"/>
            <w:vAlign w:val="center"/>
          </w:tcPr>
          <w:p w14:paraId="3310E40E"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Simultaneous cultivation</w:t>
            </w:r>
          </w:p>
        </w:tc>
        <w:tc>
          <w:tcPr>
            <w:tcW w:w="4360" w:type="dxa"/>
            <w:vAlign w:val="center"/>
          </w:tcPr>
          <w:p w14:paraId="2A09A91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performed by research team</w:t>
            </w:r>
          </w:p>
        </w:tc>
      </w:tr>
      <w:tr w:rsidR="00A35045" w:rsidRPr="001823ED" w14:paraId="1F6A3C54" w14:textId="77777777" w:rsidTr="00502205">
        <w:tc>
          <w:tcPr>
            <w:tcW w:w="4702" w:type="dxa"/>
            <w:vAlign w:val="center"/>
          </w:tcPr>
          <w:p w14:paraId="29B91579"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Objective measurement of BV by microscopy</w:t>
            </w:r>
          </w:p>
        </w:tc>
        <w:tc>
          <w:tcPr>
            <w:tcW w:w="4360" w:type="dxa"/>
            <w:vAlign w:val="center"/>
          </w:tcPr>
          <w:p w14:paraId="3C79958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Not performed by research team</w:t>
            </w:r>
          </w:p>
        </w:tc>
      </w:tr>
      <w:tr w:rsidR="00A35045" w:rsidRPr="001823ED" w14:paraId="0A41CA75" w14:textId="77777777" w:rsidTr="00502205">
        <w:tc>
          <w:tcPr>
            <w:tcW w:w="4702" w:type="dxa"/>
            <w:vAlign w:val="center"/>
          </w:tcPr>
          <w:p w14:paraId="499925A7"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Consent to use specimens</w:t>
            </w:r>
          </w:p>
        </w:tc>
        <w:tc>
          <w:tcPr>
            <w:tcW w:w="4360" w:type="dxa"/>
            <w:vAlign w:val="center"/>
          </w:tcPr>
          <w:p w14:paraId="134647EB"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Consent documented for ‘gifting’ of samples to other ethically approved research</w:t>
            </w:r>
          </w:p>
        </w:tc>
      </w:tr>
      <w:tr w:rsidR="00A35045" w:rsidRPr="001823ED" w14:paraId="785C7899" w14:textId="77777777" w:rsidTr="00502205">
        <w:tc>
          <w:tcPr>
            <w:tcW w:w="4702" w:type="dxa"/>
            <w:vAlign w:val="center"/>
          </w:tcPr>
          <w:p w14:paraId="190093F1" w14:textId="77777777"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﻿Other subtypes of PTB (&lt; 34 weeks, &lt;28 weeks)</w:t>
            </w:r>
          </w:p>
        </w:tc>
        <w:tc>
          <w:tcPr>
            <w:tcW w:w="4360" w:type="dxa"/>
            <w:vAlign w:val="center"/>
          </w:tcPr>
          <w:p w14:paraId="4638492F" w14:textId="19DE1D62" w:rsidR="00A35045" w:rsidRPr="001823ED" w:rsidRDefault="00A35045" w:rsidP="001823ED">
            <w:pPr>
              <w:pStyle w:val="Table"/>
              <w:widowControl w:val="0"/>
              <w:jc w:val="left"/>
              <w:rPr>
                <w:rFonts w:asciiTheme="minorHAnsi" w:hAnsiTheme="minorHAnsi"/>
                <w:lang w:val="en-GB"/>
              </w:rPr>
            </w:pPr>
            <w:r w:rsidRPr="001823ED">
              <w:rPr>
                <w:rFonts w:asciiTheme="minorHAnsi" w:hAnsiTheme="minorHAnsi"/>
                <w:lang w:val="en-GB"/>
              </w:rPr>
              <w:t xml:space="preserve">Primary outcome sPTB or PPROM </w:t>
            </w:r>
            <w:r w:rsidR="002207A7">
              <w:rPr>
                <w:rFonts w:asciiTheme="minorHAnsi" w:hAnsiTheme="minorHAnsi"/>
                <w:lang w:val="en-GB"/>
              </w:rPr>
              <w:t>16</w:t>
            </w:r>
            <w:r w:rsidR="002207A7">
              <w:rPr>
                <w:rFonts w:asciiTheme="minorHAnsi" w:hAnsiTheme="minorHAnsi"/>
                <w:vertAlign w:val="superscript"/>
                <w:lang w:val="en-GB"/>
              </w:rPr>
              <w:t>+0</w:t>
            </w:r>
            <w:r w:rsidR="002207A7">
              <w:rPr>
                <w:rFonts w:asciiTheme="minorHAnsi" w:hAnsiTheme="minorHAnsi"/>
                <w:lang w:val="en-GB"/>
              </w:rPr>
              <w:t>-</w:t>
            </w:r>
            <w:r w:rsidRPr="001823ED">
              <w:rPr>
                <w:rFonts w:asciiTheme="minorHAnsi" w:hAnsiTheme="minorHAnsi"/>
                <w:lang w:val="en-GB"/>
              </w:rPr>
              <w:t>3</w:t>
            </w:r>
            <w:r w:rsidR="002207A7">
              <w:rPr>
                <w:rFonts w:asciiTheme="minorHAnsi" w:hAnsiTheme="minorHAnsi"/>
                <w:lang w:val="en-GB"/>
              </w:rPr>
              <w:t>3</w:t>
            </w:r>
            <w:r w:rsidR="002207A7">
              <w:rPr>
                <w:rFonts w:asciiTheme="minorHAnsi" w:hAnsiTheme="minorHAnsi"/>
                <w:vertAlign w:val="superscript"/>
                <w:lang w:val="en-GB"/>
              </w:rPr>
              <w:t>+6</w:t>
            </w:r>
            <w:r w:rsidR="002207A7">
              <w:rPr>
                <w:rFonts w:asciiTheme="minorHAnsi" w:hAnsiTheme="minorHAnsi"/>
                <w:lang w:val="en-GB"/>
              </w:rPr>
              <w:t xml:space="preserve"> </w:t>
            </w:r>
            <w:r w:rsidRPr="001823ED">
              <w:rPr>
                <w:rFonts w:asciiTheme="minorHAnsi" w:hAnsiTheme="minorHAnsi"/>
                <w:lang w:val="en-GB"/>
              </w:rPr>
              <w:t xml:space="preserve">weeks. Insufficient sample size to justify further subtypes </w:t>
            </w:r>
          </w:p>
        </w:tc>
      </w:tr>
      <w:tr w:rsidR="00A27164" w:rsidRPr="001823ED" w14:paraId="0BFBFA59" w14:textId="77777777" w:rsidTr="00502205">
        <w:tc>
          <w:tcPr>
            <w:tcW w:w="4702" w:type="dxa"/>
            <w:vAlign w:val="center"/>
          </w:tcPr>
          <w:p w14:paraId="5ABC3E4D" w14:textId="3D3EA4D9" w:rsidR="00A27164" w:rsidRPr="001823ED" w:rsidRDefault="00A27164" w:rsidP="00A27164">
            <w:pPr>
              <w:pStyle w:val="Table"/>
              <w:widowControl w:val="0"/>
              <w:jc w:val="left"/>
              <w:rPr>
                <w:rFonts w:asciiTheme="minorHAnsi" w:hAnsiTheme="minorHAnsi"/>
              </w:rPr>
            </w:pPr>
            <w:r>
              <w:rPr>
                <w:rFonts w:asciiTheme="minorHAnsi" w:hAnsiTheme="minorHAnsi"/>
              </w:rPr>
              <w:t>Quantitative/qualitative analysis</w:t>
            </w:r>
          </w:p>
        </w:tc>
        <w:tc>
          <w:tcPr>
            <w:tcW w:w="4360" w:type="dxa"/>
            <w:vAlign w:val="center"/>
          </w:tcPr>
          <w:p w14:paraId="02AEEE63" w14:textId="5F7D7462" w:rsidR="00A27164" w:rsidRPr="001823ED" w:rsidRDefault="00A27164" w:rsidP="00A27164">
            <w:pPr>
              <w:pStyle w:val="Table"/>
              <w:widowControl w:val="0"/>
              <w:jc w:val="left"/>
              <w:rPr>
                <w:rFonts w:asciiTheme="minorHAnsi" w:hAnsiTheme="minorHAnsi"/>
              </w:rPr>
            </w:pPr>
            <w:r>
              <w:rPr>
                <w:rFonts w:asciiTheme="minorHAnsi" w:hAnsiTheme="minorHAnsi"/>
              </w:rPr>
              <w:t>Performed comprehensively. Tables 2 &amp; 3.</w:t>
            </w:r>
          </w:p>
        </w:tc>
      </w:tr>
    </w:tbl>
    <w:p w14:paraId="25B51AD1" w14:textId="47D1F1B6" w:rsidR="00A27164" w:rsidRDefault="00A27164"/>
    <w:p w14:paraId="6F2FA4E6" w14:textId="4A419719" w:rsidR="00A35045" w:rsidRDefault="00A27164" w:rsidP="00A27164">
      <w:r w:rsidRPr="00A27164">
        <w:rPr>
          <w:u w:val="single"/>
        </w:rPr>
        <w:t>Note</w:t>
      </w:r>
      <w:r>
        <w:t>:</w:t>
      </w:r>
      <w:r w:rsidRPr="00A27164">
        <w:t xml:space="preserve"> these recommendations were published after we had already completed study recruitment</w:t>
      </w:r>
      <w:r>
        <w:t>.</w:t>
      </w:r>
    </w:p>
    <w:p w14:paraId="19F1919B" w14:textId="62BCB396" w:rsidR="00A27164" w:rsidRDefault="00A27164" w:rsidP="00A27164"/>
    <w:p w14:paraId="7C427C09" w14:textId="77777777" w:rsidR="00A27164" w:rsidRDefault="00A27164" w:rsidP="00A27164"/>
    <w:p w14:paraId="1AE3F336" w14:textId="77777777" w:rsidR="00A27164" w:rsidRDefault="00A27164" w:rsidP="00A27164">
      <w:pPr>
        <w:pBdr>
          <w:between w:val="single" w:sz="4" w:space="1" w:color="auto"/>
          <w:bar w:val="single" w:sz="4" w:color="auto"/>
        </w:pBdr>
      </w:pPr>
    </w:p>
    <w:sectPr w:rsidR="00A27164" w:rsidSect="00D2603D">
      <w:pgSz w:w="11906" w:h="16838" w:code="9"/>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1B965" w14:textId="77777777" w:rsidR="0032499B" w:rsidRDefault="0032499B">
      <w:r>
        <w:separator/>
      </w:r>
    </w:p>
  </w:endnote>
  <w:endnote w:type="continuationSeparator" w:id="0">
    <w:p w14:paraId="15834065" w14:textId="77777777" w:rsidR="0032499B" w:rsidRDefault="0032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7580771"/>
      <w:docPartObj>
        <w:docPartGallery w:val="Page Numbers (Bottom of Page)"/>
        <w:docPartUnique/>
      </w:docPartObj>
    </w:sdtPr>
    <w:sdtEndPr>
      <w:rPr>
        <w:rStyle w:val="PageNumber"/>
      </w:rPr>
    </w:sdtEndPr>
    <w:sdtContent>
      <w:p w14:paraId="3FD097CD" w14:textId="328A4260" w:rsidR="0086354C" w:rsidRDefault="0086354C" w:rsidP="007539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8BECFA" w14:textId="77777777" w:rsidR="0086354C" w:rsidRDefault="0086354C" w:rsidP="00E768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1145058"/>
      <w:docPartObj>
        <w:docPartGallery w:val="Page Numbers (Bottom of Page)"/>
        <w:docPartUnique/>
      </w:docPartObj>
    </w:sdtPr>
    <w:sdtEndPr>
      <w:rPr>
        <w:rStyle w:val="PageNumber"/>
      </w:rPr>
    </w:sdtEndPr>
    <w:sdtContent>
      <w:p w14:paraId="6A17C8E4" w14:textId="564F4BF2" w:rsidR="0086354C" w:rsidRDefault="0086354C" w:rsidP="007539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5312">
          <w:rPr>
            <w:rStyle w:val="PageNumber"/>
            <w:noProof/>
          </w:rPr>
          <w:t>20</w:t>
        </w:r>
        <w:r>
          <w:rPr>
            <w:rStyle w:val="PageNumber"/>
          </w:rPr>
          <w:fldChar w:fldCharType="end"/>
        </w:r>
      </w:p>
    </w:sdtContent>
  </w:sdt>
  <w:p w14:paraId="782EC96E" w14:textId="18F261DC" w:rsidR="0086354C" w:rsidRPr="009F276A" w:rsidRDefault="003A6077" w:rsidP="0011349C">
    <w:pPr>
      <w:pStyle w:val="Footer"/>
      <w:spacing w:line="240" w:lineRule="auto"/>
      <w:ind w:right="357"/>
    </w:pPr>
    <w:r>
      <w:rPr>
        <w:i/>
      </w:rPr>
      <w:t>17 April 2021</w:t>
    </w:r>
    <w:r w:rsidR="0086354C">
      <w:ptab w:relativeTo="margin" w:alignment="center" w:leader="none"/>
    </w:r>
    <w:r w:rsidR="0086354C">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14F39" w14:textId="0C996B23" w:rsidR="0086354C" w:rsidRPr="00DC43B3" w:rsidRDefault="007E5312" w:rsidP="00DC43B3">
    <w:pPr>
      <w:pStyle w:val="Footer"/>
      <w:tabs>
        <w:tab w:val="clear" w:pos="9026"/>
        <w:tab w:val="right" w:pos="13892"/>
      </w:tabs>
      <w:spacing w:line="240" w:lineRule="auto"/>
      <w:rPr>
        <w:rFonts w:asciiTheme="minorHAnsi" w:hAnsiTheme="minorHAnsi"/>
        <w:szCs w:val="24"/>
        <w:lang w:val="en-GB" w:eastAsia="en-GB"/>
      </w:rPr>
    </w:pPr>
    <w:r>
      <w:rPr>
        <w:i/>
        <w:lang w:val="nl-NL"/>
      </w:rPr>
      <w:t>17 April 2021</w:t>
    </w:r>
    <w:r w:rsidR="0086354C">
      <w:rPr>
        <w:lang w:val="nl-NL"/>
      </w:rPr>
      <w:tab/>
    </w:r>
    <w:r w:rsidR="0086354C">
      <w:rPr>
        <w:lang w:val="nl-NL"/>
      </w:rPr>
      <w:tab/>
    </w:r>
    <w:sdt>
      <w:sdtPr>
        <w:rPr>
          <w:rStyle w:val="PageNumber"/>
        </w:rPr>
        <w:id w:val="-1209786929"/>
        <w:docPartObj>
          <w:docPartGallery w:val="Page Numbers (Bottom of Page)"/>
          <w:docPartUnique/>
        </w:docPartObj>
      </w:sdtPr>
      <w:sdtEndPr>
        <w:rPr>
          <w:rStyle w:val="PageNumber"/>
        </w:rPr>
      </w:sdtEndPr>
      <w:sdtContent>
        <w:r w:rsidR="0086354C">
          <w:rPr>
            <w:rStyle w:val="PageNumber"/>
          </w:rPr>
          <w:fldChar w:fldCharType="begin"/>
        </w:r>
        <w:r w:rsidR="0086354C">
          <w:rPr>
            <w:rStyle w:val="PageNumber"/>
          </w:rPr>
          <w:instrText xml:space="preserve"> PAGE </w:instrText>
        </w:r>
        <w:r w:rsidR="0086354C">
          <w:rPr>
            <w:rStyle w:val="PageNumber"/>
          </w:rPr>
          <w:fldChar w:fldCharType="separate"/>
        </w:r>
        <w:r>
          <w:rPr>
            <w:rStyle w:val="PageNumber"/>
            <w:noProof/>
          </w:rPr>
          <w:t>21</w:t>
        </w:r>
        <w:r w:rsidR="0086354C">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38741" w14:textId="77777777" w:rsidR="0032499B" w:rsidRDefault="0032499B">
      <w:r>
        <w:separator/>
      </w:r>
    </w:p>
  </w:footnote>
  <w:footnote w:type="continuationSeparator" w:id="0">
    <w:p w14:paraId="1793AF9C" w14:textId="77777777" w:rsidR="0032499B" w:rsidRDefault="00324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6EEA"/>
    <w:multiLevelType w:val="hybridMultilevel"/>
    <w:tmpl w:val="8F0C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E4410"/>
    <w:multiLevelType w:val="hybridMultilevel"/>
    <w:tmpl w:val="31B8A936"/>
    <w:lvl w:ilvl="0" w:tplc="D5547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67A72"/>
    <w:multiLevelType w:val="hybridMultilevel"/>
    <w:tmpl w:val="8A06AF4E"/>
    <w:lvl w:ilvl="0" w:tplc="E0D4B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41875"/>
    <w:multiLevelType w:val="hybridMultilevel"/>
    <w:tmpl w:val="89CC0314"/>
    <w:lvl w:ilvl="0" w:tplc="05F6E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410FD"/>
    <w:multiLevelType w:val="hybridMultilevel"/>
    <w:tmpl w:val="F0F6C876"/>
    <w:lvl w:ilvl="0" w:tplc="E0D4BCD2">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80727"/>
    <w:multiLevelType w:val="multilevel"/>
    <w:tmpl w:val="AF8CFFF4"/>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 w15:restartNumberingAfterBreak="0">
    <w:nsid w:val="1639327A"/>
    <w:multiLevelType w:val="hybridMultilevel"/>
    <w:tmpl w:val="C4CC6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8D6B90"/>
    <w:multiLevelType w:val="hybridMultilevel"/>
    <w:tmpl w:val="B88C4344"/>
    <w:lvl w:ilvl="0" w:tplc="E0D4BCD2">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09205F4">
      <w:numFmt w:val="bullet"/>
      <w:lvlText w:val="-"/>
      <w:lvlJc w:val="left"/>
      <w:pPr>
        <w:ind w:left="2160" w:hanging="360"/>
      </w:pPr>
      <w:rPr>
        <w:rFonts w:ascii="Calibri" w:eastAsia="Calibri" w:hAnsi="Calibri" w:cs="Calibri" w:hint="default"/>
        <w:i w:val="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E2770"/>
    <w:multiLevelType w:val="hybridMultilevel"/>
    <w:tmpl w:val="37F6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7042F"/>
    <w:multiLevelType w:val="hybridMultilevel"/>
    <w:tmpl w:val="4E2EA1B2"/>
    <w:lvl w:ilvl="0" w:tplc="B10E0DD6">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5243F"/>
    <w:multiLevelType w:val="hybridMultilevel"/>
    <w:tmpl w:val="8ACC3558"/>
    <w:lvl w:ilvl="0" w:tplc="0CEE4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A62F18"/>
    <w:multiLevelType w:val="hybridMultilevel"/>
    <w:tmpl w:val="A3E2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D25F7"/>
    <w:multiLevelType w:val="hybridMultilevel"/>
    <w:tmpl w:val="5426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D0417"/>
    <w:multiLevelType w:val="hybridMultilevel"/>
    <w:tmpl w:val="4656C59E"/>
    <w:lvl w:ilvl="0" w:tplc="E0D4BCD2">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EB7939"/>
    <w:multiLevelType w:val="hybridMultilevel"/>
    <w:tmpl w:val="A4D88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C17FE"/>
    <w:multiLevelType w:val="hybridMultilevel"/>
    <w:tmpl w:val="BCA46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A15CA"/>
    <w:multiLevelType w:val="hybridMultilevel"/>
    <w:tmpl w:val="88861F40"/>
    <w:lvl w:ilvl="0" w:tplc="378086F8">
      <w:start w:val="3"/>
      <w:numFmt w:val="decimal"/>
      <w:lvlText w:val="%1."/>
      <w:lvlJc w:val="left"/>
      <w:pPr>
        <w:ind w:left="540" w:hanging="360"/>
      </w:pPr>
      <w:rPr>
        <w:rFonts w:hint="default"/>
        <w:lang w:val="en-G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2921041"/>
    <w:multiLevelType w:val="hybridMultilevel"/>
    <w:tmpl w:val="5D9812AC"/>
    <w:lvl w:ilvl="0" w:tplc="E0D4BCD2">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14DA2"/>
    <w:multiLevelType w:val="hybridMultilevel"/>
    <w:tmpl w:val="0C2E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B2D17"/>
    <w:multiLevelType w:val="hybridMultilevel"/>
    <w:tmpl w:val="F1DE822A"/>
    <w:lvl w:ilvl="0" w:tplc="0809000F">
      <w:start w:val="1"/>
      <w:numFmt w:val="decimal"/>
      <w:lvlText w:val="%1."/>
      <w:lvlJc w:val="left"/>
      <w:pPr>
        <w:ind w:left="720" w:hanging="360"/>
      </w:pPr>
    </w:lvl>
    <w:lvl w:ilvl="1" w:tplc="CE6219AA">
      <w:start w:val="1"/>
      <w:numFmt w:val="bullet"/>
      <w:lvlText w:val="−"/>
      <w:lvlJc w:val="left"/>
      <w:pPr>
        <w:ind w:left="1440" w:hanging="360"/>
      </w:pPr>
      <w:rPr>
        <w:rFonts w:ascii="Calibri" w:hAnsi="Calibri" w:hint="default"/>
      </w:rPr>
    </w:lvl>
    <w:lvl w:ilvl="2" w:tplc="6A3887FC">
      <w:start w:val="3"/>
      <w:numFmt w:val="bullet"/>
      <w:lvlText w:val="-"/>
      <w:lvlJc w:val="left"/>
      <w:pPr>
        <w:ind w:left="2340" w:hanging="360"/>
      </w:pPr>
      <w:rPr>
        <w:rFonts w:ascii="Calibri" w:eastAsia="Calibri" w:hAnsi="Calibri"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D46C9A"/>
    <w:multiLevelType w:val="hybridMultilevel"/>
    <w:tmpl w:val="A190AE00"/>
    <w:lvl w:ilvl="0" w:tplc="193EAAF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1" w15:restartNumberingAfterBreak="0">
    <w:nsid w:val="62D60184"/>
    <w:multiLevelType w:val="hybridMultilevel"/>
    <w:tmpl w:val="D19869BE"/>
    <w:lvl w:ilvl="0" w:tplc="683AE4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C2F84"/>
    <w:multiLevelType w:val="hybridMultilevel"/>
    <w:tmpl w:val="3DFAF6A0"/>
    <w:lvl w:ilvl="0" w:tplc="193EAAF2">
      <w:start w:val="1"/>
      <w:numFmt w:val="decimal"/>
      <w:lvlText w:val="%1."/>
      <w:lvlJc w:val="left"/>
      <w:pPr>
        <w:ind w:left="5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845E62"/>
    <w:multiLevelType w:val="hybridMultilevel"/>
    <w:tmpl w:val="3A74FC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B63A3B"/>
    <w:multiLevelType w:val="hybridMultilevel"/>
    <w:tmpl w:val="AEC419EE"/>
    <w:lvl w:ilvl="0" w:tplc="EC7038F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5E23EF"/>
    <w:multiLevelType w:val="hybridMultilevel"/>
    <w:tmpl w:val="609C9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9B542F"/>
    <w:multiLevelType w:val="multilevel"/>
    <w:tmpl w:val="39A82B68"/>
    <w:lvl w:ilvl="0">
      <w:start w:val="1"/>
      <w:numFmt w:val="decimal"/>
      <w:lvlText w:val="%1."/>
      <w:lvlJc w:val="left"/>
      <w:pPr>
        <w:ind w:left="540" w:hanging="360"/>
      </w:pPr>
      <w:rPr>
        <w:rFonts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7" w15:restartNumberingAfterBreak="0">
    <w:nsid w:val="784D6A97"/>
    <w:multiLevelType w:val="hybridMultilevel"/>
    <w:tmpl w:val="F6B8B5DA"/>
    <w:lvl w:ilvl="0" w:tplc="E0D4BCD2">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107C34"/>
    <w:multiLevelType w:val="hybridMultilevel"/>
    <w:tmpl w:val="3EFCB0F4"/>
    <w:lvl w:ilvl="0" w:tplc="E0D4B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3"/>
  </w:num>
  <w:num w:numId="4">
    <w:abstractNumId w:val="4"/>
  </w:num>
  <w:num w:numId="5">
    <w:abstractNumId w:val="11"/>
  </w:num>
  <w:num w:numId="6">
    <w:abstractNumId w:val="17"/>
  </w:num>
  <w:num w:numId="7">
    <w:abstractNumId w:val="2"/>
  </w:num>
  <w:num w:numId="8">
    <w:abstractNumId w:val="27"/>
  </w:num>
  <w:num w:numId="9">
    <w:abstractNumId w:val="16"/>
  </w:num>
  <w:num w:numId="10">
    <w:abstractNumId w:val="28"/>
  </w:num>
  <w:num w:numId="11">
    <w:abstractNumId w:val="9"/>
  </w:num>
  <w:num w:numId="12">
    <w:abstractNumId w:val="22"/>
  </w:num>
  <w:num w:numId="13">
    <w:abstractNumId w:val="20"/>
  </w:num>
  <w:num w:numId="14">
    <w:abstractNumId w:val="5"/>
  </w:num>
  <w:num w:numId="15">
    <w:abstractNumId w:val="10"/>
  </w:num>
  <w:num w:numId="16">
    <w:abstractNumId w:val="21"/>
  </w:num>
  <w:num w:numId="17">
    <w:abstractNumId w:val="1"/>
  </w:num>
  <w:num w:numId="18">
    <w:abstractNumId w:val="3"/>
  </w:num>
  <w:num w:numId="19">
    <w:abstractNumId w:val="19"/>
  </w:num>
  <w:num w:numId="20">
    <w:abstractNumId w:val="24"/>
  </w:num>
  <w:num w:numId="21">
    <w:abstractNumId w:val="25"/>
  </w:num>
  <w:num w:numId="22">
    <w:abstractNumId w:val="23"/>
  </w:num>
  <w:num w:numId="23">
    <w:abstractNumId w:val="18"/>
  </w:num>
  <w:num w:numId="24">
    <w:abstractNumId w:val="0"/>
  </w:num>
  <w:num w:numId="25">
    <w:abstractNumId w:val="12"/>
  </w:num>
  <w:num w:numId="26">
    <w:abstractNumId w:val="8"/>
  </w:num>
  <w:num w:numId="27">
    <w:abstractNumId w:val="14"/>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nl-NL"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6"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C71"/>
    <w:rsid w:val="00000BFD"/>
    <w:rsid w:val="00001019"/>
    <w:rsid w:val="00002FD8"/>
    <w:rsid w:val="0000585F"/>
    <w:rsid w:val="00005CC6"/>
    <w:rsid w:val="00005EE0"/>
    <w:rsid w:val="00006F4E"/>
    <w:rsid w:val="00010B68"/>
    <w:rsid w:val="000217B1"/>
    <w:rsid w:val="00024BC7"/>
    <w:rsid w:val="00024E7E"/>
    <w:rsid w:val="000272B8"/>
    <w:rsid w:val="000306D0"/>
    <w:rsid w:val="000315A0"/>
    <w:rsid w:val="00031C8E"/>
    <w:rsid w:val="00032C99"/>
    <w:rsid w:val="000338FC"/>
    <w:rsid w:val="0003537D"/>
    <w:rsid w:val="00036705"/>
    <w:rsid w:val="00037A23"/>
    <w:rsid w:val="00040A8B"/>
    <w:rsid w:val="00041BD2"/>
    <w:rsid w:val="00042533"/>
    <w:rsid w:val="00042AEC"/>
    <w:rsid w:val="00047FCF"/>
    <w:rsid w:val="000521BA"/>
    <w:rsid w:val="000534C9"/>
    <w:rsid w:val="00056147"/>
    <w:rsid w:val="0005763F"/>
    <w:rsid w:val="00060686"/>
    <w:rsid w:val="00061386"/>
    <w:rsid w:val="00061A6E"/>
    <w:rsid w:val="00065827"/>
    <w:rsid w:val="0006596C"/>
    <w:rsid w:val="00065D67"/>
    <w:rsid w:val="00066C18"/>
    <w:rsid w:val="00072B2D"/>
    <w:rsid w:val="0007421A"/>
    <w:rsid w:val="00074323"/>
    <w:rsid w:val="000746ED"/>
    <w:rsid w:val="0007588C"/>
    <w:rsid w:val="00075905"/>
    <w:rsid w:val="00076304"/>
    <w:rsid w:val="00084382"/>
    <w:rsid w:val="000845EC"/>
    <w:rsid w:val="00084F78"/>
    <w:rsid w:val="00085850"/>
    <w:rsid w:val="00085C3F"/>
    <w:rsid w:val="00086A77"/>
    <w:rsid w:val="00091A74"/>
    <w:rsid w:val="00091D08"/>
    <w:rsid w:val="00093B7D"/>
    <w:rsid w:val="000A1352"/>
    <w:rsid w:val="000A2708"/>
    <w:rsid w:val="000A2BE9"/>
    <w:rsid w:val="000A37D6"/>
    <w:rsid w:val="000A553B"/>
    <w:rsid w:val="000A7CAD"/>
    <w:rsid w:val="000B00A7"/>
    <w:rsid w:val="000B22E5"/>
    <w:rsid w:val="000B35CD"/>
    <w:rsid w:val="000C2FF1"/>
    <w:rsid w:val="000C6D9B"/>
    <w:rsid w:val="000D0205"/>
    <w:rsid w:val="000D15DA"/>
    <w:rsid w:val="000D35B0"/>
    <w:rsid w:val="000D3B48"/>
    <w:rsid w:val="000D42D7"/>
    <w:rsid w:val="000D53A4"/>
    <w:rsid w:val="000E1FC3"/>
    <w:rsid w:val="000E3104"/>
    <w:rsid w:val="000E342C"/>
    <w:rsid w:val="000E34EF"/>
    <w:rsid w:val="000E7718"/>
    <w:rsid w:val="000E7794"/>
    <w:rsid w:val="000F3E3E"/>
    <w:rsid w:val="000F62D4"/>
    <w:rsid w:val="000F6572"/>
    <w:rsid w:val="000F6688"/>
    <w:rsid w:val="000F6F5C"/>
    <w:rsid w:val="000F7D96"/>
    <w:rsid w:val="00103902"/>
    <w:rsid w:val="001046B3"/>
    <w:rsid w:val="00104860"/>
    <w:rsid w:val="00106319"/>
    <w:rsid w:val="0010644F"/>
    <w:rsid w:val="00107F94"/>
    <w:rsid w:val="001113B8"/>
    <w:rsid w:val="0011215B"/>
    <w:rsid w:val="00112824"/>
    <w:rsid w:val="0011349C"/>
    <w:rsid w:val="001160AC"/>
    <w:rsid w:val="001178C9"/>
    <w:rsid w:val="00120D93"/>
    <w:rsid w:val="00121ABF"/>
    <w:rsid w:val="001232A6"/>
    <w:rsid w:val="001232AA"/>
    <w:rsid w:val="00123EDD"/>
    <w:rsid w:val="001243CE"/>
    <w:rsid w:val="0012632F"/>
    <w:rsid w:val="00127BF5"/>
    <w:rsid w:val="0013003A"/>
    <w:rsid w:val="00130355"/>
    <w:rsid w:val="001316E9"/>
    <w:rsid w:val="00132172"/>
    <w:rsid w:val="00132196"/>
    <w:rsid w:val="00132C27"/>
    <w:rsid w:val="00133FCF"/>
    <w:rsid w:val="00135E2B"/>
    <w:rsid w:val="00135F17"/>
    <w:rsid w:val="0014088F"/>
    <w:rsid w:val="00140B0E"/>
    <w:rsid w:val="00140FE1"/>
    <w:rsid w:val="0014123A"/>
    <w:rsid w:val="001418A5"/>
    <w:rsid w:val="001428B5"/>
    <w:rsid w:val="00143828"/>
    <w:rsid w:val="00144493"/>
    <w:rsid w:val="001449A6"/>
    <w:rsid w:val="0014586A"/>
    <w:rsid w:val="001464B2"/>
    <w:rsid w:val="001508FB"/>
    <w:rsid w:val="00151ABC"/>
    <w:rsid w:val="0015224F"/>
    <w:rsid w:val="001522F7"/>
    <w:rsid w:val="001562C3"/>
    <w:rsid w:val="00161167"/>
    <w:rsid w:val="00161367"/>
    <w:rsid w:val="00162452"/>
    <w:rsid w:val="00162A20"/>
    <w:rsid w:val="00165473"/>
    <w:rsid w:val="00166067"/>
    <w:rsid w:val="00166F00"/>
    <w:rsid w:val="00167A70"/>
    <w:rsid w:val="0017118C"/>
    <w:rsid w:val="001718A6"/>
    <w:rsid w:val="00171F9E"/>
    <w:rsid w:val="001734BC"/>
    <w:rsid w:val="00173518"/>
    <w:rsid w:val="00174F6E"/>
    <w:rsid w:val="00175E98"/>
    <w:rsid w:val="00181470"/>
    <w:rsid w:val="001823ED"/>
    <w:rsid w:val="00184256"/>
    <w:rsid w:val="00185FD7"/>
    <w:rsid w:val="00186242"/>
    <w:rsid w:val="00187999"/>
    <w:rsid w:val="00187D5D"/>
    <w:rsid w:val="00190265"/>
    <w:rsid w:val="001902D6"/>
    <w:rsid w:val="0019262A"/>
    <w:rsid w:val="0019321F"/>
    <w:rsid w:val="001934A0"/>
    <w:rsid w:val="00193D77"/>
    <w:rsid w:val="001956B9"/>
    <w:rsid w:val="00196B19"/>
    <w:rsid w:val="00197423"/>
    <w:rsid w:val="00197E11"/>
    <w:rsid w:val="001A06AC"/>
    <w:rsid w:val="001A1627"/>
    <w:rsid w:val="001A1DFD"/>
    <w:rsid w:val="001A2226"/>
    <w:rsid w:val="001A2DBC"/>
    <w:rsid w:val="001A425E"/>
    <w:rsid w:val="001A4EC0"/>
    <w:rsid w:val="001A68D4"/>
    <w:rsid w:val="001B069C"/>
    <w:rsid w:val="001B19F5"/>
    <w:rsid w:val="001B1C1A"/>
    <w:rsid w:val="001B275C"/>
    <w:rsid w:val="001B4BF9"/>
    <w:rsid w:val="001B653D"/>
    <w:rsid w:val="001B661E"/>
    <w:rsid w:val="001B72EC"/>
    <w:rsid w:val="001C0291"/>
    <w:rsid w:val="001C31B4"/>
    <w:rsid w:val="001C353C"/>
    <w:rsid w:val="001C3F35"/>
    <w:rsid w:val="001C436B"/>
    <w:rsid w:val="001C43EE"/>
    <w:rsid w:val="001C4652"/>
    <w:rsid w:val="001D3A25"/>
    <w:rsid w:val="001D3B6F"/>
    <w:rsid w:val="001D41A4"/>
    <w:rsid w:val="001D46B6"/>
    <w:rsid w:val="001E22FA"/>
    <w:rsid w:val="001E26D8"/>
    <w:rsid w:val="001E2F0F"/>
    <w:rsid w:val="001E377F"/>
    <w:rsid w:val="001E543A"/>
    <w:rsid w:val="001E7ECC"/>
    <w:rsid w:val="001F2934"/>
    <w:rsid w:val="001F313C"/>
    <w:rsid w:val="001F40C6"/>
    <w:rsid w:val="001F4D24"/>
    <w:rsid w:val="001F5BA1"/>
    <w:rsid w:val="002025DB"/>
    <w:rsid w:val="002038A7"/>
    <w:rsid w:val="00203FEA"/>
    <w:rsid w:val="002050E7"/>
    <w:rsid w:val="0020529B"/>
    <w:rsid w:val="002060AB"/>
    <w:rsid w:val="00206145"/>
    <w:rsid w:val="002068E3"/>
    <w:rsid w:val="00206D13"/>
    <w:rsid w:val="00207933"/>
    <w:rsid w:val="0021090C"/>
    <w:rsid w:val="0021150F"/>
    <w:rsid w:val="00211716"/>
    <w:rsid w:val="00212360"/>
    <w:rsid w:val="0021513A"/>
    <w:rsid w:val="0021549D"/>
    <w:rsid w:val="00215614"/>
    <w:rsid w:val="00216ACF"/>
    <w:rsid w:val="0021765F"/>
    <w:rsid w:val="002207A7"/>
    <w:rsid w:val="00220853"/>
    <w:rsid w:val="00220BDF"/>
    <w:rsid w:val="00222949"/>
    <w:rsid w:val="002242A1"/>
    <w:rsid w:val="00225048"/>
    <w:rsid w:val="00230624"/>
    <w:rsid w:val="0023126F"/>
    <w:rsid w:val="002342A0"/>
    <w:rsid w:val="00235CEC"/>
    <w:rsid w:val="00235DB4"/>
    <w:rsid w:val="00235E71"/>
    <w:rsid w:val="002431EF"/>
    <w:rsid w:val="00243482"/>
    <w:rsid w:val="002460DB"/>
    <w:rsid w:val="002463E2"/>
    <w:rsid w:val="00246BE0"/>
    <w:rsid w:val="00251130"/>
    <w:rsid w:val="00252C87"/>
    <w:rsid w:val="00254F09"/>
    <w:rsid w:val="00255191"/>
    <w:rsid w:val="0025668C"/>
    <w:rsid w:val="0025754E"/>
    <w:rsid w:val="00260829"/>
    <w:rsid w:val="00261514"/>
    <w:rsid w:val="00264F72"/>
    <w:rsid w:val="0026646B"/>
    <w:rsid w:val="00266CE9"/>
    <w:rsid w:val="00270793"/>
    <w:rsid w:val="00272EF3"/>
    <w:rsid w:val="002733AF"/>
    <w:rsid w:val="002749BA"/>
    <w:rsid w:val="0027598A"/>
    <w:rsid w:val="00275C0B"/>
    <w:rsid w:val="00276634"/>
    <w:rsid w:val="0027708A"/>
    <w:rsid w:val="00282045"/>
    <w:rsid w:val="00282E73"/>
    <w:rsid w:val="00283FDE"/>
    <w:rsid w:val="00285C24"/>
    <w:rsid w:val="002863E6"/>
    <w:rsid w:val="00286EA2"/>
    <w:rsid w:val="0029262C"/>
    <w:rsid w:val="00293FAB"/>
    <w:rsid w:val="00294684"/>
    <w:rsid w:val="00296FE0"/>
    <w:rsid w:val="00297B87"/>
    <w:rsid w:val="002A1AC4"/>
    <w:rsid w:val="002A5049"/>
    <w:rsid w:val="002A6646"/>
    <w:rsid w:val="002A6B86"/>
    <w:rsid w:val="002A7D5E"/>
    <w:rsid w:val="002B0E14"/>
    <w:rsid w:val="002B10A7"/>
    <w:rsid w:val="002B1DD6"/>
    <w:rsid w:val="002B24F1"/>
    <w:rsid w:val="002B270E"/>
    <w:rsid w:val="002B3750"/>
    <w:rsid w:val="002B41C0"/>
    <w:rsid w:val="002B529F"/>
    <w:rsid w:val="002B5F35"/>
    <w:rsid w:val="002C1E3F"/>
    <w:rsid w:val="002C3348"/>
    <w:rsid w:val="002C56C5"/>
    <w:rsid w:val="002C6AA7"/>
    <w:rsid w:val="002D480C"/>
    <w:rsid w:val="002D63BD"/>
    <w:rsid w:val="002D6459"/>
    <w:rsid w:val="002D7526"/>
    <w:rsid w:val="002E62F4"/>
    <w:rsid w:val="002E69B5"/>
    <w:rsid w:val="002E73AB"/>
    <w:rsid w:val="002F109A"/>
    <w:rsid w:val="002F143F"/>
    <w:rsid w:val="002F2584"/>
    <w:rsid w:val="002F29CA"/>
    <w:rsid w:val="002F2C23"/>
    <w:rsid w:val="002F34E9"/>
    <w:rsid w:val="002F38D6"/>
    <w:rsid w:val="0030385D"/>
    <w:rsid w:val="00304D7D"/>
    <w:rsid w:val="00311CA0"/>
    <w:rsid w:val="00311D94"/>
    <w:rsid w:val="00312F24"/>
    <w:rsid w:val="00315711"/>
    <w:rsid w:val="00317FC1"/>
    <w:rsid w:val="00320DC8"/>
    <w:rsid w:val="0032137F"/>
    <w:rsid w:val="00321A10"/>
    <w:rsid w:val="00322296"/>
    <w:rsid w:val="0032499B"/>
    <w:rsid w:val="00327943"/>
    <w:rsid w:val="00327A87"/>
    <w:rsid w:val="0033027E"/>
    <w:rsid w:val="00330BD0"/>
    <w:rsid w:val="003335F9"/>
    <w:rsid w:val="0033457E"/>
    <w:rsid w:val="00335628"/>
    <w:rsid w:val="003367A7"/>
    <w:rsid w:val="00336FD9"/>
    <w:rsid w:val="0033741D"/>
    <w:rsid w:val="00337D81"/>
    <w:rsid w:val="00341944"/>
    <w:rsid w:val="0034242F"/>
    <w:rsid w:val="00344895"/>
    <w:rsid w:val="00344C9B"/>
    <w:rsid w:val="00345A41"/>
    <w:rsid w:val="003472BF"/>
    <w:rsid w:val="003472F9"/>
    <w:rsid w:val="00351781"/>
    <w:rsid w:val="00351AC7"/>
    <w:rsid w:val="003551E4"/>
    <w:rsid w:val="00356AB3"/>
    <w:rsid w:val="00357983"/>
    <w:rsid w:val="00361C44"/>
    <w:rsid w:val="00361ED3"/>
    <w:rsid w:val="003625E6"/>
    <w:rsid w:val="00367E36"/>
    <w:rsid w:val="0037002A"/>
    <w:rsid w:val="003720A3"/>
    <w:rsid w:val="00373AA4"/>
    <w:rsid w:val="00374A59"/>
    <w:rsid w:val="003754E1"/>
    <w:rsid w:val="00377A3D"/>
    <w:rsid w:val="0038116B"/>
    <w:rsid w:val="00381F0C"/>
    <w:rsid w:val="003825B4"/>
    <w:rsid w:val="00383D19"/>
    <w:rsid w:val="00384602"/>
    <w:rsid w:val="00387CB1"/>
    <w:rsid w:val="0039059B"/>
    <w:rsid w:val="00390A39"/>
    <w:rsid w:val="0039369C"/>
    <w:rsid w:val="00393BDB"/>
    <w:rsid w:val="00394F71"/>
    <w:rsid w:val="0039570B"/>
    <w:rsid w:val="00395DBD"/>
    <w:rsid w:val="00396F18"/>
    <w:rsid w:val="0039759E"/>
    <w:rsid w:val="003A0465"/>
    <w:rsid w:val="003A1493"/>
    <w:rsid w:val="003A27ED"/>
    <w:rsid w:val="003A498C"/>
    <w:rsid w:val="003A584C"/>
    <w:rsid w:val="003A6077"/>
    <w:rsid w:val="003A6829"/>
    <w:rsid w:val="003A6DFB"/>
    <w:rsid w:val="003B0520"/>
    <w:rsid w:val="003B0D94"/>
    <w:rsid w:val="003B3128"/>
    <w:rsid w:val="003B4E02"/>
    <w:rsid w:val="003B58AE"/>
    <w:rsid w:val="003C0B33"/>
    <w:rsid w:val="003C1AB7"/>
    <w:rsid w:val="003C2586"/>
    <w:rsid w:val="003C5C74"/>
    <w:rsid w:val="003C5DE7"/>
    <w:rsid w:val="003C664E"/>
    <w:rsid w:val="003D01D1"/>
    <w:rsid w:val="003D2012"/>
    <w:rsid w:val="003D2325"/>
    <w:rsid w:val="003D3A49"/>
    <w:rsid w:val="003D7A79"/>
    <w:rsid w:val="003E1FEA"/>
    <w:rsid w:val="003E28F3"/>
    <w:rsid w:val="003E3582"/>
    <w:rsid w:val="003E4B19"/>
    <w:rsid w:val="003E67DE"/>
    <w:rsid w:val="003F2A49"/>
    <w:rsid w:val="003F6440"/>
    <w:rsid w:val="003F6C81"/>
    <w:rsid w:val="003F7175"/>
    <w:rsid w:val="00400B4B"/>
    <w:rsid w:val="004013FA"/>
    <w:rsid w:val="00402699"/>
    <w:rsid w:val="00403031"/>
    <w:rsid w:val="00404707"/>
    <w:rsid w:val="00404F4E"/>
    <w:rsid w:val="00406B51"/>
    <w:rsid w:val="00406D73"/>
    <w:rsid w:val="0041092C"/>
    <w:rsid w:val="00410BAA"/>
    <w:rsid w:val="00411080"/>
    <w:rsid w:val="00411C71"/>
    <w:rsid w:val="0041206D"/>
    <w:rsid w:val="00413C6F"/>
    <w:rsid w:val="00414817"/>
    <w:rsid w:val="00416861"/>
    <w:rsid w:val="00416E4F"/>
    <w:rsid w:val="0042078F"/>
    <w:rsid w:val="00424F22"/>
    <w:rsid w:val="00425C4F"/>
    <w:rsid w:val="004260BA"/>
    <w:rsid w:val="00426C4B"/>
    <w:rsid w:val="0043070D"/>
    <w:rsid w:val="004313F3"/>
    <w:rsid w:val="00432350"/>
    <w:rsid w:val="004375FA"/>
    <w:rsid w:val="00440B2D"/>
    <w:rsid w:val="00440B84"/>
    <w:rsid w:val="00444274"/>
    <w:rsid w:val="004513B8"/>
    <w:rsid w:val="00451496"/>
    <w:rsid w:val="0045230D"/>
    <w:rsid w:val="004524E4"/>
    <w:rsid w:val="00452572"/>
    <w:rsid w:val="00454D0E"/>
    <w:rsid w:val="004554F6"/>
    <w:rsid w:val="00456367"/>
    <w:rsid w:val="0046022F"/>
    <w:rsid w:val="00461A61"/>
    <w:rsid w:val="00464574"/>
    <w:rsid w:val="00464FAA"/>
    <w:rsid w:val="00472265"/>
    <w:rsid w:val="004745CD"/>
    <w:rsid w:val="00476478"/>
    <w:rsid w:val="0048024B"/>
    <w:rsid w:val="00481378"/>
    <w:rsid w:val="0048140E"/>
    <w:rsid w:val="004816F5"/>
    <w:rsid w:val="00481B4C"/>
    <w:rsid w:val="00482174"/>
    <w:rsid w:val="00483A18"/>
    <w:rsid w:val="00483E85"/>
    <w:rsid w:val="00484131"/>
    <w:rsid w:val="00484342"/>
    <w:rsid w:val="004843E8"/>
    <w:rsid w:val="00484F6F"/>
    <w:rsid w:val="00485E28"/>
    <w:rsid w:val="00486270"/>
    <w:rsid w:val="00490265"/>
    <w:rsid w:val="00490CE9"/>
    <w:rsid w:val="00491B3C"/>
    <w:rsid w:val="00491B40"/>
    <w:rsid w:val="00492ACD"/>
    <w:rsid w:val="004931DD"/>
    <w:rsid w:val="00493ECF"/>
    <w:rsid w:val="00494C44"/>
    <w:rsid w:val="004A0B3F"/>
    <w:rsid w:val="004A2387"/>
    <w:rsid w:val="004A4CAB"/>
    <w:rsid w:val="004A4E32"/>
    <w:rsid w:val="004A63D8"/>
    <w:rsid w:val="004A6481"/>
    <w:rsid w:val="004A65F8"/>
    <w:rsid w:val="004B4DEE"/>
    <w:rsid w:val="004B664B"/>
    <w:rsid w:val="004B6B92"/>
    <w:rsid w:val="004B780D"/>
    <w:rsid w:val="004C0358"/>
    <w:rsid w:val="004C15F8"/>
    <w:rsid w:val="004C263F"/>
    <w:rsid w:val="004C305D"/>
    <w:rsid w:val="004C3D9B"/>
    <w:rsid w:val="004C4FE3"/>
    <w:rsid w:val="004C5159"/>
    <w:rsid w:val="004C613A"/>
    <w:rsid w:val="004C6573"/>
    <w:rsid w:val="004C7A34"/>
    <w:rsid w:val="004C7A4A"/>
    <w:rsid w:val="004D0E0A"/>
    <w:rsid w:val="004D12B1"/>
    <w:rsid w:val="004D16BA"/>
    <w:rsid w:val="004D22E0"/>
    <w:rsid w:val="004D23A5"/>
    <w:rsid w:val="004D2AD9"/>
    <w:rsid w:val="004D2EEF"/>
    <w:rsid w:val="004D3810"/>
    <w:rsid w:val="004D3850"/>
    <w:rsid w:val="004D5FE8"/>
    <w:rsid w:val="004D7483"/>
    <w:rsid w:val="004E2033"/>
    <w:rsid w:val="004E6BAD"/>
    <w:rsid w:val="004F0ABD"/>
    <w:rsid w:val="004F307E"/>
    <w:rsid w:val="004F371F"/>
    <w:rsid w:val="004F57B9"/>
    <w:rsid w:val="004F6F16"/>
    <w:rsid w:val="004F6F55"/>
    <w:rsid w:val="004F6F8F"/>
    <w:rsid w:val="0050136D"/>
    <w:rsid w:val="00502205"/>
    <w:rsid w:val="0050458B"/>
    <w:rsid w:val="005064FA"/>
    <w:rsid w:val="00507EF2"/>
    <w:rsid w:val="00510451"/>
    <w:rsid w:val="005106E1"/>
    <w:rsid w:val="005113B0"/>
    <w:rsid w:val="00512F82"/>
    <w:rsid w:val="0051334D"/>
    <w:rsid w:val="005136FD"/>
    <w:rsid w:val="0051546B"/>
    <w:rsid w:val="005168D4"/>
    <w:rsid w:val="00517879"/>
    <w:rsid w:val="0052142F"/>
    <w:rsid w:val="00521565"/>
    <w:rsid w:val="0052170C"/>
    <w:rsid w:val="005223A5"/>
    <w:rsid w:val="00522A39"/>
    <w:rsid w:val="00523E57"/>
    <w:rsid w:val="00524C33"/>
    <w:rsid w:val="00526733"/>
    <w:rsid w:val="00526ADE"/>
    <w:rsid w:val="00527A62"/>
    <w:rsid w:val="005311E0"/>
    <w:rsid w:val="005315D9"/>
    <w:rsid w:val="00532217"/>
    <w:rsid w:val="00532980"/>
    <w:rsid w:val="00534FC0"/>
    <w:rsid w:val="00535CF5"/>
    <w:rsid w:val="00541192"/>
    <w:rsid w:val="00542F70"/>
    <w:rsid w:val="00543FC5"/>
    <w:rsid w:val="00544843"/>
    <w:rsid w:val="00544EC7"/>
    <w:rsid w:val="005452CC"/>
    <w:rsid w:val="005461AF"/>
    <w:rsid w:val="00550C6E"/>
    <w:rsid w:val="00552C46"/>
    <w:rsid w:val="00556C9D"/>
    <w:rsid w:val="00557154"/>
    <w:rsid w:val="00562C76"/>
    <w:rsid w:val="00563C97"/>
    <w:rsid w:val="0056466F"/>
    <w:rsid w:val="00564F32"/>
    <w:rsid w:val="005658B4"/>
    <w:rsid w:val="00565E17"/>
    <w:rsid w:val="00566E1C"/>
    <w:rsid w:val="0057070F"/>
    <w:rsid w:val="00573C2C"/>
    <w:rsid w:val="00577CAE"/>
    <w:rsid w:val="005800AA"/>
    <w:rsid w:val="0058154B"/>
    <w:rsid w:val="005832FF"/>
    <w:rsid w:val="0058358E"/>
    <w:rsid w:val="005840E5"/>
    <w:rsid w:val="00584E2B"/>
    <w:rsid w:val="00585A8B"/>
    <w:rsid w:val="005866DF"/>
    <w:rsid w:val="00586874"/>
    <w:rsid w:val="00587226"/>
    <w:rsid w:val="00591AC8"/>
    <w:rsid w:val="00591F94"/>
    <w:rsid w:val="00592577"/>
    <w:rsid w:val="00592A97"/>
    <w:rsid w:val="00593653"/>
    <w:rsid w:val="00593799"/>
    <w:rsid w:val="00593EAB"/>
    <w:rsid w:val="00594B55"/>
    <w:rsid w:val="00594E64"/>
    <w:rsid w:val="00597888"/>
    <w:rsid w:val="005A2EC8"/>
    <w:rsid w:val="005B412B"/>
    <w:rsid w:val="005B45E2"/>
    <w:rsid w:val="005B5938"/>
    <w:rsid w:val="005B595A"/>
    <w:rsid w:val="005B59EA"/>
    <w:rsid w:val="005B7535"/>
    <w:rsid w:val="005B7974"/>
    <w:rsid w:val="005B7995"/>
    <w:rsid w:val="005C0C0E"/>
    <w:rsid w:val="005C24B4"/>
    <w:rsid w:val="005C48C7"/>
    <w:rsid w:val="005C57E4"/>
    <w:rsid w:val="005C5B07"/>
    <w:rsid w:val="005C79FF"/>
    <w:rsid w:val="005D1D14"/>
    <w:rsid w:val="005D2514"/>
    <w:rsid w:val="005D3783"/>
    <w:rsid w:val="005D5C67"/>
    <w:rsid w:val="005D6104"/>
    <w:rsid w:val="005D7EE8"/>
    <w:rsid w:val="005E1054"/>
    <w:rsid w:val="005E247A"/>
    <w:rsid w:val="005E4DC5"/>
    <w:rsid w:val="005E5D3F"/>
    <w:rsid w:val="005E655B"/>
    <w:rsid w:val="005E69AD"/>
    <w:rsid w:val="005E6BAF"/>
    <w:rsid w:val="005F07B5"/>
    <w:rsid w:val="005F1AD1"/>
    <w:rsid w:val="005F1D7C"/>
    <w:rsid w:val="005F4F5D"/>
    <w:rsid w:val="005F7268"/>
    <w:rsid w:val="006038C8"/>
    <w:rsid w:val="00604849"/>
    <w:rsid w:val="00606BAE"/>
    <w:rsid w:val="006071AD"/>
    <w:rsid w:val="0061396E"/>
    <w:rsid w:val="006144CB"/>
    <w:rsid w:val="00615FD1"/>
    <w:rsid w:val="00620655"/>
    <w:rsid w:val="00621C06"/>
    <w:rsid w:val="006220F9"/>
    <w:rsid w:val="00622D26"/>
    <w:rsid w:val="00623AAF"/>
    <w:rsid w:val="006260CB"/>
    <w:rsid w:val="00626950"/>
    <w:rsid w:val="00626B9A"/>
    <w:rsid w:val="0063213C"/>
    <w:rsid w:val="00632A5E"/>
    <w:rsid w:val="00635153"/>
    <w:rsid w:val="00636D34"/>
    <w:rsid w:val="00640060"/>
    <w:rsid w:val="0064200E"/>
    <w:rsid w:val="00644A56"/>
    <w:rsid w:val="0064620F"/>
    <w:rsid w:val="00646C44"/>
    <w:rsid w:val="006475E9"/>
    <w:rsid w:val="00650429"/>
    <w:rsid w:val="00650EE6"/>
    <w:rsid w:val="00655286"/>
    <w:rsid w:val="00657C24"/>
    <w:rsid w:val="00663F1A"/>
    <w:rsid w:val="00665A0A"/>
    <w:rsid w:val="00670BAB"/>
    <w:rsid w:val="00670F49"/>
    <w:rsid w:val="00672BCF"/>
    <w:rsid w:val="00672C2D"/>
    <w:rsid w:val="006746D2"/>
    <w:rsid w:val="00674AB6"/>
    <w:rsid w:val="00680196"/>
    <w:rsid w:val="00680FF2"/>
    <w:rsid w:val="00682D78"/>
    <w:rsid w:val="006909A9"/>
    <w:rsid w:val="00691D10"/>
    <w:rsid w:val="00693EDE"/>
    <w:rsid w:val="00695E2D"/>
    <w:rsid w:val="00696171"/>
    <w:rsid w:val="00696A02"/>
    <w:rsid w:val="006A3F51"/>
    <w:rsid w:val="006A455E"/>
    <w:rsid w:val="006A57CC"/>
    <w:rsid w:val="006A7248"/>
    <w:rsid w:val="006A761C"/>
    <w:rsid w:val="006B20B6"/>
    <w:rsid w:val="006B3ABF"/>
    <w:rsid w:val="006B5C2C"/>
    <w:rsid w:val="006C2CDC"/>
    <w:rsid w:val="006C695D"/>
    <w:rsid w:val="006D0BF5"/>
    <w:rsid w:val="006D1D9A"/>
    <w:rsid w:val="006D1EA5"/>
    <w:rsid w:val="006D2E4B"/>
    <w:rsid w:val="006D3DB3"/>
    <w:rsid w:val="006D4AC2"/>
    <w:rsid w:val="006D55AB"/>
    <w:rsid w:val="006E0422"/>
    <w:rsid w:val="006E06A0"/>
    <w:rsid w:val="006E40B4"/>
    <w:rsid w:val="006E500E"/>
    <w:rsid w:val="006E5AC4"/>
    <w:rsid w:val="006E5BC2"/>
    <w:rsid w:val="006E6A61"/>
    <w:rsid w:val="006E74F0"/>
    <w:rsid w:val="006F072B"/>
    <w:rsid w:val="006F1051"/>
    <w:rsid w:val="006F2172"/>
    <w:rsid w:val="006F2809"/>
    <w:rsid w:val="006F2D07"/>
    <w:rsid w:val="006F4BDD"/>
    <w:rsid w:val="006F5252"/>
    <w:rsid w:val="006F7612"/>
    <w:rsid w:val="0070498E"/>
    <w:rsid w:val="00704EF8"/>
    <w:rsid w:val="007068AE"/>
    <w:rsid w:val="00707BFA"/>
    <w:rsid w:val="0071008B"/>
    <w:rsid w:val="00710D09"/>
    <w:rsid w:val="00710DC9"/>
    <w:rsid w:val="0071196B"/>
    <w:rsid w:val="007122ED"/>
    <w:rsid w:val="00712517"/>
    <w:rsid w:val="00715049"/>
    <w:rsid w:val="0072002A"/>
    <w:rsid w:val="007214BB"/>
    <w:rsid w:val="007224F7"/>
    <w:rsid w:val="00722973"/>
    <w:rsid w:val="00723B27"/>
    <w:rsid w:val="00725EA7"/>
    <w:rsid w:val="0073067C"/>
    <w:rsid w:val="00732768"/>
    <w:rsid w:val="00734397"/>
    <w:rsid w:val="00741159"/>
    <w:rsid w:val="00744F4E"/>
    <w:rsid w:val="00745232"/>
    <w:rsid w:val="00745609"/>
    <w:rsid w:val="00747452"/>
    <w:rsid w:val="0075118D"/>
    <w:rsid w:val="00752570"/>
    <w:rsid w:val="007528DE"/>
    <w:rsid w:val="00753976"/>
    <w:rsid w:val="0075418E"/>
    <w:rsid w:val="00754F9A"/>
    <w:rsid w:val="00761531"/>
    <w:rsid w:val="00761695"/>
    <w:rsid w:val="00761781"/>
    <w:rsid w:val="007622D6"/>
    <w:rsid w:val="00762502"/>
    <w:rsid w:val="00762AB1"/>
    <w:rsid w:val="007634CB"/>
    <w:rsid w:val="00766BE9"/>
    <w:rsid w:val="00771E06"/>
    <w:rsid w:val="00774958"/>
    <w:rsid w:val="0077515C"/>
    <w:rsid w:val="00775EE1"/>
    <w:rsid w:val="0077630F"/>
    <w:rsid w:val="00776F4B"/>
    <w:rsid w:val="00776FC6"/>
    <w:rsid w:val="0078083D"/>
    <w:rsid w:val="007817B3"/>
    <w:rsid w:val="00782103"/>
    <w:rsid w:val="00783B37"/>
    <w:rsid w:val="0078556B"/>
    <w:rsid w:val="00785727"/>
    <w:rsid w:val="00786AAA"/>
    <w:rsid w:val="00786DB2"/>
    <w:rsid w:val="00787999"/>
    <w:rsid w:val="007901B1"/>
    <w:rsid w:val="00794856"/>
    <w:rsid w:val="0079590F"/>
    <w:rsid w:val="0079750A"/>
    <w:rsid w:val="007A015F"/>
    <w:rsid w:val="007A06B2"/>
    <w:rsid w:val="007A1182"/>
    <w:rsid w:val="007A2151"/>
    <w:rsid w:val="007A5FEA"/>
    <w:rsid w:val="007A6089"/>
    <w:rsid w:val="007A69E4"/>
    <w:rsid w:val="007B0694"/>
    <w:rsid w:val="007B0BF4"/>
    <w:rsid w:val="007B4095"/>
    <w:rsid w:val="007B44B1"/>
    <w:rsid w:val="007B4B6E"/>
    <w:rsid w:val="007B6039"/>
    <w:rsid w:val="007B64DA"/>
    <w:rsid w:val="007B6B4C"/>
    <w:rsid w:val="007B6DD2"/>
    <w:rsid w:val="007C449C"/>
    <w:rsid w:val="007C5946"/>
    <w:rsid w:val="007C5D22"/>
    <w:rsid w:val="007C6144"/>
    <w:rsid w:val="007C7083"/>
    <w:rsid w:val="007D0AE0"/>
    <w:rsid w:val="007D2B6B"/>
    <w:rsid w:val="007D60AF"/>
    <w:rsid w:val="007D7F33"/>
    <w:rsid w:val="007E01A4"/>
    <w:rsid w:val="007E0CD0"/>
    <w:rsid w:val="007E12E8"/>
    <w:rsid w:val="007E1344"/>
    <w:rsid w:val="007E50DA"/>
    <w:rsid w:val="007E5312"/>
    <w:rsid w:val="007E72D6"/>
    <w:rsid w:val="007E73D2"/>
    <w:rsid w:val="007E7F06"/>
    <w:rsid w:val="007F2F06"/>
    <w:rsid w:val="007F41E9"/>
    <w:rsid w:val="007F66C2"/>
    <w:rsid w:val="00801B2C"/>
    <w:rsid w:val="00801C95"/>
    <w:rsid w:val="0080283F"/>
    <w:rsid w:val="00802DE8"/>
    <w:rsid w:val="00803F57"/>
    <w:rsid w:val="00810325"/>
    <w:rsid w:val="00811B79"/>
    <w:rsid w:val="00811E9E"/>
    <w:rsid w:val="00812814"/>
    <w:rsid w:val="00812835"/>
    <w:rsid w:val="00815545"/>
    <w:rsid w:val="00816D70"/>
    <w:rsid w:val="00817D59"/>
    <w:rsid w:val="008205BA"/>
    <w:rsid w:val="0082152E"/>
    <w:rsid w:val="00821B56"/>
    <w:rsid w:val="008225FC"/>
    <w:rsid w:val="00824C89"/>
    <w:rsid w:val="00824D2D"/>
    <w:rsid w:val="0083020D"/>
    <w:rsid w:val="00831281"/>
    <w:rsid w:val="008336DE"/>
    <w:rsid w:val="00833A7B"/>
    <w:rsid w:val="00834C97"/>
    <w:rsid w:val="00835012"/>
    <w:rsid w:val="00837843"/>
    <w:rsid w:val="00840323"/>
    <w:rsid w:val="008418ED"/>
    <w:rsid w:val="00841EA9"/>
    <w:rsid w:val="008511EF"/>
    <w:rsid w:val="0085332D"/>
    <w:rsid w:val="008548CB"/>
    <w:rsid w:val="00854F4E"/>
    <w:rsid w:val="00856344"/>
    <w:rsid w:val="008567F9"/>
    <w:rsid w:val="0086354C"/>
    <w:rsid w:val="0086443E"/>
    <w:rsid w:val="00864DD0"/>
    <w:rsid w:val="0086640C"/>
    <w:rsid w:val="008700AB"/>
    <w:rsid w:val="008700F4"/>
    <w:rsid w:val="00872681"/>
    <w:rsid w:val="008755F7"/>
    <w:rsid w:val="008766B6"/>
    <w:rsid w:val="008766CE"/>
    <w:rsid w:val="0087682A"/>
    <w:rsid w:val="008775A0"/>
    <w:rsid w:val="008778FC"/>
    <w:rsid w:val="00880B34"/>
    <w:rsid w:val="00885920"/>
    <w:rsid w:val="00885DD7"/>
    <w:rsid w:val="008867AD"/>
    <w:rsid w:val="00886C7A"/>
    <w:rsid w:val="00891882"/>
    <w:rsid w:val="008A074C"/>
    <w:rsid w:val="008A26F8"/>
    <w:rsid w:val="008A330F"/>
    <w:rsid w:val="008A45B7"/>
    <w:rsid w:val="008A5B56"/>
    <w:rsid w:val="008A7F54"/>
    <w:rsid w:val="008B06BA"/>
    <w:rsid w:val="008B2461"/>
    <w:rsid w:val="008B24AC"/>
    <w:rsid w:val="008B6E89"/>
    <w:rsid w:val="008C0636"/>
    <w:rsid w:val="008C13B4"/>
    <w:rsid w:val="008C2600"/>
    <w:rsid w:val="008C2F35"/>
    <w:rsid w:val="008C30B2"/>
    <w:rsid w:val="008C37B6"/>
    <w:rsid w:val="008C3EC4"/>
    <w:rsid w:val="008C4125"/>
    <w:rsid w:val="008C6969"/>
    <w:rsid w:val="008C74A4"/>
    <w:rsid w:val="008D1FD9"/>
    <w:rsid w:val="008D20E6"/>
    <w:rsid w:val="008D2115"/>
    <w:rsid w:val="008D287E"/>
    <w:rsid w:val="008D341B"/>
    <w:rsid w:val="008D3E27"/>
    <w:rsid w:val="008E1455"/>
    <w:rsid w:val="008E442C"/>
    <w:rsid w:val="008E691C"/>
    <w:rsid w:val="008E6DEF"/>
    <w:rsid w:val="008E71F1"/>
    <w:rsid w:val="008E7BE1"/>
    <w:rsid w:val="008F00BE"/>
    <w:rsid w:val="008F1A2F"/>
    <w:rsid w:val="008F23C4"/>
    <w:rsid w:val="008F26B5"/>
    <w:rsid w:val="008F30BF"/>
    <w:rsid w:val="008F423D"/>
    <w:rsid w:val="008F552B"/>
    <w:rsid w:val="008F6C6F"/>
    <w:rsid w:val="008F7681"/>
    <w:rsid w:val="008F7749"/>
    <w:rsid w:val="009011FF"/>
    <w:rsid w:val="00903A2C"/>
    <w:rsid w:val="00905287"/>
    <w:rsid w:val="0090528C"/>
    <w:rsid w:val="00905D7E"/>
    <w:rsid w:val="00905F44"/>
    <w:rsid w:val="00906813"/>
    <w:rsid w:val="00906824"/>
    <w:rsid w:val="00910B97"/>
    <w:rsid w:val="00910EB7"/>
    <w:rsid w:val="00912381"/>
    <w:rsid w:val="00913F6D"/>
    <w:rsid w:val="009140F9"/>
    <w:rsid w:val="00914BB5"/>
    <w:rsid w:val="00915B3D"/>
    <w:rsid w:val="00916544"/>
    <w:rsid w:val="0092012D"/>
    <w:rsid w:val="0092016E"/>
    <w:rsid w:val="009208C7"/>
    <w:rsid w:val="00925AFF"/>
    <w:rsid w:val="00925DB2"/>
    <w:rsid w:val="009269D1"/>
    <w:rsid w:val="00927ACC"/>
    <w:rsid w:val="00927DAE"/>
    <w:rsid w:val="00930BD8"/>
    <w:rsid w:val="009318B9"/>
    <w:rsid w:val="00931ED0"/>
    <w:rsid w:val="009322EF"/>
    <w:rsid w:val="00933CE3"/>
    <w:rsid w:val="00933D17"/>
    <w:rsid w:val="009369AF"/>
    <w:rsid w:val="00937646"/>
    <w:rsid w:val="00937E0D"/>
    <w:rsid w:val="00941D97"/>
    <w:rsid w:val="00946AD2"/>
    <w:rsid w:val="00946E28"/>
    <w:rsid w:val="0094716F"/>
    <w:rsid w:val="00947405"/>
    <w:rsid w:val="00947AC2"/>
    <w:rsid w:val="00951944"/>
    <w:rsid w:val="00951C3F"/>
    <w:rsid w:val="00951EA2"/>
    <w:rsid w:val="00952F04"/>
    <w:rsid w:val="0095362F"/>
    <w:rsid w:val="00954137"/>
    <w:rsid w:val="009562ED"/>
    <w:rsid w:val="009576CD"/>
    <w:rsid w:val="00957F58"/>
    <w:rsid w:val="00960085"/>
    <w:rsid w:val="00962897"/>
    <w:rsid w:val="00962C76"/>
    <w:rsid w:val="009660C6"/>
    <w:rsid w:val="00970290"/>
    <w:rsid w:val="00972FD6"/>
    <w:rsid w:val="00973FB5"/>
    <w:rsid w:val="00975943"/>
    <w:rsid w:val="00975A2B"/>
    <w:rsid w:val="009765A2"/>
    <w:rsid w:val="009801C0"/>
    <w:rsid w:val="00980396"/>
    <w:rsid w:val="009808B9"/>
    <w:rsid w:val="00980E61"/>
    <w:rsid w:val="00981270"/>
    <w:rsid w:val="00991750"/>
    <w:rsid w:val="009919AD"/>
    <w:rsid w:val="009930BF"/>
    <w:rsid w:val="00994E16"/>
    <w:rsid w:val="00995996"/>
    <w:rsid w:val="00996183"/>
    <w:rsid w:val="009976D5"/>
    <w:rsid w:val="009A4E89"/>
    <w:rsid w:val="009A5CCA"/>
    <w:rsid w:val="009A5FB0"/>
    <w:rsid w:val="009B379A"/>
    <w:rsid w:val="009B46FC"/>
    <w:rsid w:val="009C1C89"/>
    <w:rsid w:val="009C3E79"/>
    <w:rsid w:val="009C4FF3"/>
    <w:rsid w:val="009C5D49"/>
    <w:rsid w:val="009C6221"/>
    <w:rsid w:val="009C6BFE"/>
    <w:rsid w:val="009D07B2"/>
    <w:rsid w:val="009D1879"/>
    <w:rsid w:val="009D21B5"/>
    <w:rsid w:val="009D27C1"/>
    <w:rsid w:val="009D2FA6"/>
    <w:rsid w:val="009D37D1"/>
    <w:rsid w:val="009D5421"/>
    <w:rsid w:val="009E07D6"/>
    <w:rsid w:val="009E2B2E"/>
    <w:rsid w:val="009E2D07"/>
    <w:rsid w:val="009E4192"/>
    <w:rsid w:val="009E5C91"/>
    <w:rsid w:val="009E66E4"/>
    <w:rsid w:val="009F11BD"/>
    <w:rsid w:val="009F2466"/>
    <w:rsid w:val="009F2678"/>
    <w:rsid w:val="009F64E8"/>
    <w:rsid w:val="009F79A8"/>
    <w:rsid w:val="00A015DF"/>
    <w:rsid w:val="00A01824"/>
    <w:rsid w:val="00A031F2"/>
    <w:rsid w:val="00A0407B"/>
    <w:rsid w:val="00A07671"/>
    <w:rsid w:val="00A07785"/>
    <w:rsid w:val="00A10603"/>
    <w:rsid w:val="00A1241A"/>
    <w:rsid w:val="00A141CC"/>
    <w:rsid w:val="00A14217"/>
    <w:rsid w:val="00A1504C"/>
    <w:rsid w:val="00A16078"/>
    <w:rsid w:val="00A175A4"/>
    <w:rsid w:val="00A21533"/>
    <w:rsid w:val="00A215C9"/>
    <w:rsid w:val="00A243BB"/>
    <w:rsid w:val="00A2457A"/>
    <w:rsid w:val="00A26AC2"/>
    <w:rsid w:val="00A26CF5"/>
    <w:rsid w:val="00A27164"/>
    <w:rsid w:val="00A314E2"/>
    <w:rsid w:val="00A33A83"/>
    <w:rsid w:val="00A35045"/>
    <w:rsid w:val="00A405C0"/>
    <w:rsid w:val="00A41A1C"/>
    <w:rsid w:val="00A44576"/>
    <w:rsid w:val="00A4607C"/>
    <w:rsid w:val="00A47F45"/>
    <w:rsid w:val="00A53FF7"/>
    <w:rsid w:val="00A5441F"/>
    <w:rsid w:val="00A56424"/>
    <w:rsid w:val="00A6135F"/>
    <w:rsid w:val="00A6150A"/>
    <w:rsid w:val="00A61BF8"/>
    <w:rsid w:val="00A62945"/>
    <w:rsid w:val="00A6377C"/>
    <w:rsid w:val="00A63990"/>
    <w:rsid w:val="00A64D54"/>
    <w:rsid w:val="00A65D52"/>
    <w:rsid w:val="00A675F5"/>
    <w:rsid w:val="00A67C61"/>
    <w:rsid w:val="00A7094D"/>
    <w:rsid w:val="00A73BAD"/>
    <w:rsid w:val="00A75F12"/>
    <w:rsid w:val="00A76BEF"/>
    <w:rsid w:val="00A8100F"/>
    <w:rsid w:val="00A818F7"/>
    <w:rsid w:val="00A820E9"/>
    <w:rsid w:val="00A8586D"/>
    <w:rsid w:val="00A85D0A"/>
    <w:rsid w:val="00A85E05"/>
    <w:rsid w:val="00A86CC6"/>
    <w:rsid w:val="00A9010B"/>
    <w:rsid w:val="00A90D75"/>
    <w:rsid w:val="00A91A85"/>
    <w:rsid w:val="00A91BDC"/>
    <w:rsid w:val="00A91EC0"/>
    <w:rsid w:val="00A929CC"/>
    <w:rsid w:val="00A934DD"/>
    <w:rsid w:val="00A9643F"/>
    <w:rsid w:val="00A97514"/>
    <w:rsid w:val="00A976F3"/>
    <w:rsid w:val="00AA18B6"/>
    <w:rsid w:val="00AA3DF7"/>
    <w:rsid w:val="00AA4F02"/>
    <w:rsid w:val="00AA4F70"/>
    <w:rsid w:val="00AA4FE6"/>
    <w:rsid w:val="00AA5A0D"/>
    <w:rsid w:val="00AA5C03"/>
    <w:rsid w:val="00AA64E7"/>
    <w:rsid w:val="00AA7799"/>
    <w:rsid w:val="00AB1532"/>
    <w:rsid w:val="00AB337E"/>
    <w:rsid w:val="00AB4EB6"/>
    <w:rsid w:val="00AB503E"/>
    <w:rsid w:val="00AB6E7A"/>
    <w:rsid w:val="00AB719D"/>
    <w:rsid w:val="00AC2507"/>
    <w:rsid w:val="00AC4409"/>
    <w:rsid w:val="00AC5AAD"/>
    <w:rsid w:val="00AC63B4"/>
    <w:rsid w:val="00AD0A8A"/>
    <w:rsid w:val="00AD25CF"/>
    <w:rsid w:val="00AD4DD2"/>
    <w:rsid w:val="00AD573F"/>
    <w:rsid w:val="00AD6A09"/>
    <w:rsid w:val="00AD6D2B"/>
    <w:rsid w:val="00AD712B"/>
    <w:rsid w:val="00AD75E4"/>
    <w:rsid w:val="00AE0265"/>
    <w:rsid w:val="00AE0596"/>
    <w:rsid w:val="00AE1B4A"/>
    <w:rsid w:val="00AE28B4"/>
    <w:rsid w:val="00AE5097"/>
    <w:rsid w:val="00AE5CA7"/>
    <w:rsid w:val="00AE7C04"/>
    <w:rsid w:val="00AF1466"/>
    <w:rsid w:val="00AF3CEB"/>
    <w:rsid w:val="00AF4B28"/>
    <w:rsid w:val="00AF4C55"/>
    <w:rsid w:val="00AF6506"/>
    <w:rsid w:val="00AF68D7"/>
    <w:rsid w:val="00AF7E5B"/>
    <w:rsid w:val="00B016A6"/>
    <w:rsid w:val="00B025BE"/>
    <w:rsid w:val="00B03112"/>
    <w:rsid w:val="00B0589F"/>
    <w:rsid w:val="00B12434"/>
    <w:rsid w:val="00B12502"/>
    <w:rsid w:val="00B1438C"/>
    <w:rsid w:val="00B158C5"/>
    <w:rsid w:val="00B160FF"/>
    <w:rsid w:val="00B16340"/>
    <w:rsid w:val="00B17FA4"/>
    <w:rsid w:val="00B20324"/>
    <w:rsid w:val="00B20865"/>
    <w:rsid w:val="00B20C1D"/>
    <w:rsid w:val="00B21DDE"/>
    <w:rsid w:val="00B23379"/>
    <w:rsid w:val="00B25041"/>
    <w:rsid w:val="00B250C5"/>
    <w:rsid w:val="00B25AB3"/>
    <w:rsid w:val="00B26A9C"/>
    <w:rsid w:val="00B32822"/>
    <w:rsid w:val="00B40062"/>
    <w:rsid w:val="00B42FA0"/>
    <w:rsid w:val="00B44903"/>
    <w:rsid w:val="00B4649B"/>
    <w:rsid w:val="00B46B34"/>
    <w:rsid w:val="00B4799F"/>
    <w:rsid w:val="00B47ADE"/>
    <w:rsid w:val="00B5080B"/>
    <w:rsid w:val="00B51A25"/>
    <w:rsid w:val="00B51B3A"/>
    <w:rsid w:val="00B53B1A"/>
    <w:rsid w:val="00B548A7"/>
    <w:rsid w:val="00B556A7"/>
    <w:rsid w:val="00B5655B"/>
    <w:rsid w:val="00B60C36"/>
    <w:rsid w:val="00B61717"/>
    <w:rsid w:val="00B6297E"/>
    <w:rsid w:val="00B63D45"/>
    <w:rsid w:val="00B64B30"/>
    <w:rsid w:val="00B6729C"/>
    <w:rsid w:val="00B73D41"/>
    <w:rsid w:val="00B75132"/>
    <w:rsid w:val="00B7669A"/>
    <w:rsid w:val="00B81FA9"/>
    <w:rsid w:val="00B82B6A"/>
    <w:rsid w:val="00B845AF"/>
    <w:rsid w:val="00B84CF5"/>
    <w:rsid w:val="00B85559"/>
    <w:rsid w:val="00B85E2D"/>
    <w:rsid w:val="00B87FD4"/>
    <w:rsid w:val="00B921C6"/>
    <w:rsid w:val="00B937FD"/>
    <w:rsid w:val="00B93CFB"/>
    <w:rsid w:val="00B94782"/>
    <w:rsid w:val="00B952BF"/>
    <w:rsid w:val="00B958DA"/>
    <w:rsid w:val="00BA56FA"/>
    <w:rsid w:val="00BA5C90"/>
    <w:rsid w:val="00BA739C"/>
    <w:rsid w:val="00BA7A44"/>
    <w:rsid w:val="00BB3089"/>
    <w:rsid w:val="00BB7687"/>
    <w:rsid w:val="00BC266E"/>
    <w:rsid w:val="00BC306B"/>
    <w:rsid w:val="00BC51D1"/>
    <w:rsid w:val="00BC56F9"/>
    <w:rsid w:val="00BC6CF6"/>
    <w:rsid w:val="00BC72D3"/>
    <w:rsid w:val="00BC78EF"/>
    <w:rsid w:val="00BD0986"/>
    <w:rsid w:val="00BD4F0D"/>
    <w:rsid w:val="00BD4F3D"/>
    <w:rsid w:val="00BD53FA"/>
    <w:rsid w:val="00BD5A08"/>
    <w:rsid w:val="00BD70E2"/>
    <w:rsid w:val="00BE06BF"/>
    <w:rsid w:val="00BE1684"/>
    <w:rsid w:val="00BE28BB"/>
    <w:rsid w:val="00BE458F"/>
    <w:rsid w:val="00BE6931"/>
    <w:rsid w:val="00BE7A44"/>
    <w:rsid w:val="00BE7AF0"/>
    <w:rsid w:val="00BF22F7"/>
    <w:rsid w:val="00BF46C9"/>
    <w:rsid w:val="00BF5B19"/>
    <w:rsid w:val="00BF5F8D"/>
    <w:rsid w:val="00C01107"/>
    <w:rsid w:val="00C0381E"/>
    <w:rsid w:val="00C0498B"/>
    <w:rsid w:val="00C04C30"/>
    <w:rsid w:val="00C04D9F"/>
    <w:rsid w:val="00C07590"/>
    <w:rsid w:val="00C077B8"/>
    <w:rsid w:val="00C11334"/>
    <w:rsid w:val="00C1310D"/>
    <w:rsid w:val="00C14D55"/>
    <w:rsid w:val="00C14E6E"/>
    <w:rsid w:val="00C155E3"/>
    <w:rsid w:val="00C1627C"/>
    <w:rsid w:val="00C17243"/>
    <w:rsid w:val="00C17F17"/>
    <w:rsid w:val="00C202FE"/>
    <w:rsid w:val="00C21C19"/>
    <w:rsid w:val="00C220A9"/>
    <w:rsid w:val="00C24452"/>
    <w:rsid w:val="00C25921"/>
    <w:rsid w:val="00C2600B"/>
    <w:rsid w:val="00C30338"/>
    <w:rsid w:val="00C32594"/>
    <w:rsid w:val="00C32F40"/>
    <w:rsid w:val="00C341C9"/>
    <w:rsid w:val="00C34B00"/>
    <w:rsid w:val="00C35158"/>
    <w:rsid w:val="00C36077"/>
    <w:rsid w:val="00C36C1D"/>
    <w:rsid w:val="00C3738C"/>
    <w:rsid w:val="00C403F8"/>
    <w:rsid w:val="00C420AD"/>
    <w:rsid w:val="00C4256C"/>
    <w:rsid w:val="00C42BB6"/>
    <w:rsid w:val="00C44AC4"/>
    <w:rsid w:val="00C45DB2"/>
    <w:rsid w:val="00C47BB2"/>
    <w:rsid w:val="00C47C7C"/>
    <w:rsid w:val="00C503F8"/>
    <w:rsid w:val="00C504D8"/>
    <w:rsid w:val="00C5081D"/>
    <w:rsid w:val="00C50B4E"/>
    <w:rsid w:val="00C513AD"/>
    <w:rsid w:val="00C52AB8"/>
    <w:rsid w:val="00C53F51"/>
    <w:rsid w:val="00C540A1"/>
    <w:rsid w:val="00C545E7"/>
    <w:rsid w:val="00C55498"/>
    <w:rsid w:val="00C567B2"/>
    <w:rsid w:val="00C572F1"/>
    <w:rsid w:val="00C633DF"/>
    <w:rsid w:val="00C642A2"/>
    <w:rsid w:val="00C7036A"/>
    <w:rsid w:val="00C7038D"/>
    <w:rsid w:val="00C70EE9"/>
    <w:rsid w:val="00C71D2E"/>
    <w:rsid w:val="00C71F4A"/>
    <w:rsid w:val="00C72E74"/>
    <w:rsid w:val="00C72FEB"/>
    <w:rsid w:val="00C74AEA"/>
    <w:rsid w:val="00C75932"/>
    <w:rsid w:val="00C75D3B"/>
    <w:rsid w:val="00C915B3"/>
    <w:rsid w:val="00C91A9B"/>
    <w:rsid w:val="00C92664"/>
    <w:rsid w:val="00C9591E"/>
    <w:rsid w:val="00C95AF2"/>
    <w:rsid w:val="00C970A5"/>
    <w:rsid w:val="00CA3E53"/>
    <w:rsid w:val="00CA7A1C"/>
    <w:rsid w:val="00CA7A3A"/>
    <w:rsid w:val="00CB02B9"/>
    <w:rsid w:val="00CB034B"/>
    <w:rsid w:val="00CB2465"/>
    <w:rsid w:val="00CB26E9"/>
    <w:rsid w:val="00CB2DBB"/>
    <w:rsid w:val="00CB4FFD"/>
    <w:rsid w:val="00CB5D98"/>
    <w:rsid w:val="00CB71D1"/>
    <w:rsid w:val="00CB7386"/>
    <w:rsid w:val="00CB73C9"/>
    <w:rsid w:val="00CC0A61"/>
    <w:rsid w:val="00CC0BA3"/>
    <w:rsid w:val="00CC0F34"/>
    <w:rsid w:val="00CC1306"/>
    <w:rsid w:val="00CC1E39"/>
    <w:rsid w:val="00CC2D1E"/>
    <w:rsid w:val="00CC39F5"/>
    <w:rsid w:val="00CC3E78"/>
    <w:rsid w:val="00CC599A"/>
    <w:rsid w:val="00CD02BA"/>
    <w:rsid w:val="00CD055A"/>
    <w:rsid w:val="00CD0803"/>
    <w:rsid w:val="00CD0E12"/>
    <w:rsid w:val="00CD1DC9"/>
    <w:rsid w:val="00CD41FB"/>
    <w:rsid w:val="00CD50EA"/>
    <w:rsid w:val="00CE0325"/>
    <w:rsid w:val="00CE1408"/>
    <w:rsid w:val="00CE1557"/>
    <w:rsid w:val="00CE58A8"/>
    <w:rsid w:val="00CE58BE"/>
    <w:rsid w:val="00CE623C"/>
    <w:rsid w:val="00CE6624"/>
    <w:rsid w:val="00CE71FF"/>
    <w:rsid w:val="00CF1B82"/>
    <w:rsid w:val="00CF2C8D"/>
    <w:rsid w:val="00CF34F8"/>
    <w:rsid w:val="00CF3A26"/>
    <w:rsid w:val="00CF4488"/>
    <w:rsid w:val="00CF4F78"/>
    <w:rsid w:val="00CF550D"/>
    <w:rsid w:val="00CF6DA3"/>
    <w:rsid w:val="00D00C06"/>
    <w:rsid w:val="00D04647"/>
    <w:rsid w:val="00D109BF"/>
    <w:rsid w:val="00D1208D"/>
    <w:rsid w:val="00D151B6"/>
    <w:rsid w:val="00D20206"/>
    <w:rsid w:val="00D213DC"/>
    <w:rsid w:val="00D22456"/>
    <w:rsid w:val="00D22ECD"/>
    <w:rsid w:val="00D237D6"/>
    <w:rsid w:val="00D2603D"/>
    <w:rsid w:val="00D26F78"/>
    <w:rsid w:val="00D274C6"/>
    <w:rsid w:val="00D31912"/>
    <w:rsid w:val="00D32918"/>
    <w:rsid w:val="00D345B7"/>
    <w:rsid w:val="00D3501C"/>
    <w:rsid w:val="00D36380"/>
    <w:rsid w:val="00D37FB3"/>
    <w:rsid w:val="00D40F70"/>
    <w:rsid w:val="00D416B8"/>
    <w:rsid w:val="00D41C36"/>
    <w:rsid w:val="00D4244F"/>
    <w:rsid w:val="00D4292F"/>
    <w:rsid w:val="00D437B3"/>
    <w:rsid w:val="00D43CAE"/>
    <w:rsid w:val="00D44F26"/>
    <w:rsid w:val="00D45400"/>
    <w:rsid w:val="00D4756D"/>
    <w:rsid w:val="00D509D2"/>
    <w:rsid w:val="00D52217"/>
    <w:rsid w:val="00D5396C"/>
    <w:rsid w:val="00D56797"/>
    <w:rsid w:val="00D570C9"/>
    <w:rsid w:val="00D57242"/>
    <w:rsid w:val="00D5790C"/>
    <w:rsid w:val="00D60365"/>
    <w:rsid w:val="00D6048C"/>
    <w:rsid w:val="00D61791"/>
    <w:rsid w:val="00D63A76"/>
    <w:rsid w:val="00D6589A"/>
    <w:rsid w:val="00D65C53"/>
    <w:rsid w:val="00D67293"/>
    <w:rsid w:val="00D67773"/>
    <w:rsid w:val="00D70096"/>
    <w:rsid w:val="00D70603"/>
    <w:rsid w:val="00D70F4F"/>
    <w:rsid w:val="00D7157B"/>
    <w:rsid w:val="00D71762"/>
    <w:rsid w:val="00D72532"/>
    <w:rsid w:val="00D73D3F"/>
    <w:rsid w:val="00D74049"/>
    <w:rsid w:val="00D75BF4"/>
    <w:rsid w:val="00D76544"/>
    <w:rsid w:val="00D771E0"/>
    <w:rsid w:val="00D814FB"/>
    <w:rsid w:val="00D81639"/>
    <w:rsid w:val="00D8231E"/>
    <w:rsid w:val="00D8288D"/>
    <w:rsid w:val="00D8486C"/>
    <w:rsid w:val="00D865DA"/>
    <w:rsid w:val="00D87040"/>
    <w:rsid w:val="00D91246"/>
    <w:rsid w:val="00D94C9B"/>
    <w:rsid w:val="00D96573"/>
    <w:rsid w:val="00D977BE"/>
    <w:rsid w:val="00D97809"/>
    <w:rsid w:val="00D97885"/>
    <w:rsid w:val="00DA0583"/>
    <w:rsid w:val="00DA083B"/>
    <w:rsid w:val="00DA6247"/>
    <w:rsid w:val="00DA706F"/>
    <w:rsid w:val="00DA7A89"/>
    <w:rsid w:val="00DB1304"/>
    <w:rsid w:val="00DB4850"/>
    <w:rsid w:val="00DB681B"/>
    <w:rsid w:val="00DB76A8"/>
    <w:rsid w:val="00DC1114"/>
    <w:rsid w:val="00DC153E"/>
    <w:rsid w:val="00DC304B"/>
    <w:rsid w:val="00DC3576"/>
    <w:rsid w:val="00DC4234"/>
    <w:rsid w:val="00DC43B3"/>
    <w:rsid w:val="00DC6E1B"/>
    <w:rsid w:val="00DD064E"/>
    <w:rsid w:val="00DD110C"/>
    <w:rsid w:val="00DD42FF"/>
    <w:rsid w:val="00DD5223"/>
    <w:rsid w:val="00DD5DDE"/>
    <w:rsid w:val="00DE1217"/>
    <w:rsid w:val="00DE38F4"/>
    <w:rsid w:val="00DE3B54"/>
    <w:rsid w:val="00DE3E86"/>
    <w:rsid w:val="00DE4989"/>
    <w:rsid w:val="00DE5C99"/>
    <w:rsid w:val="00DE662C"/>
    <w:rsid w:val="00DF0836"/>
    <w:rsid w:val="00DF1167"/>
    <w:rsid w:val="00DF334E"/>
    <w:rsid w:val="00DF37D7"/>
    <w:rsid w:val="00DF7B56"/>
    <w:rsid w:val="00E002E9"/>
    <w:rsid w:val="00E002F8"/>
    <w:rsid w:val="00E0092E"/>
    <w:rsid w:val="00E028BB"/>
    <w:rsid w:val="00E03F5B"/>
    <w:rsid w:val="00E054E8"/>
    <w:rsid w:val="00E07E09"/>
    <w:rsid w:val="00E10F2A"/>
    <w:rsid w:val="00E124DA"/>
    <w:rsid w:val="00E1313A"/>
    <w:rsid w:val="00E131E3"/>
    <w:rsid w:val="00E13435"/>
    <w:rsid w:val="00E1345A"/>
    <w:rsid w:val="00E135BA"/>
    <w:rsid w:val="00E13803"/>
    <w:rsid w:val="00E15248"/>
    <w:rsid w:val="00E161D7"/>
    <w:rsid w:val="00E164D0"/>
    <w:rsid w:val="00E16AEE"/>
    <w:rsid w:val="00E17C80"/>
    <w:rsid w:val="00E230B2"/>
    <w:rsid w:val="00E25FD4"/>
    <w:rsid w:val="00E264C6"/>
    <w:rsid w:val="00E27618"/>
    <w:rsid w:val="00E27BD2"/>
    <w:rsid w:val="00E30242"/>
    <w:rsid w:val="00E302CD"/>
    <w:rsid w:val="00E32101"/>
    <w:rsid w:val="00E33526"/>
    <w:rsid w:val="00E33CB1"/>
    <w:rsid w:val="00E342B5"/>
    <w:rsid w:val="00E418FA"/>
    <w:rsid w:val="00E42F01"/>
    <w:rsid w:val="00E43449"/>
    <w:rsid w:val="00E435F2"/>
    <w:rsid w:val="00E4493E"/>
    <w:rsid w:val="00E45F8B"/>
    <w:rsid w:val="00E46955"/>
    <w:rsid w:val="00E469DC"/>
    <w:rsid w:val="00E46BF6"/>
    <w:rsid w:val="00E526DA"/>
    <w:rsid w:val="00E53715"/>
    <w:rsid w:val="00E556FC"/>
    <w:rsid w:val="00E55B6F"/>
    <w:rsid w:val="00E56D0F"/>
    <w:rsid w:val="00E6187E"/>
    <w:rsid w:val="00E62530"/>
    <w:rsid w:val="00E633D6"/>
    <w:rsid w:val="00E652EC"/>
    <w:rsid w:val="00E6691D"/>
    <w:rsid w:val="00E67C75"/>
    <w:rsid w:val="00E72BB7"/>
    <w:rsid w:val="00E734AA"/>
    <w:rsid w:val="00E74D3B"/>
    <w:rsid w:val="00E756C8"/>
    <w:rsid w:val="00E768B9"/>
    <w:rsid w:val="00E77AB1"/>
    <w:rsid w:val="00E77E0B"/>
    <w:rsid w:val="00E8101A"/>
    <w:rsid w:val="00E826EC"/>
    <w:rsid w:val="00E83315"/>
    <w:rsid w:val="00E86685"/>
    <w:rsid w:val="00E87CCF"/>
    <w:rsid w:val="00E87F75"/>
    <w:rsid w:val="00E9035D"/>
    <w:rsid w:val="00E918E9"/>
    <w:rsid w:val="00E920D5"/>
    <w:rsid w:val="00E93A59"/>
    <w:rsid w:val="00E96A6C"/>
    <w:rsid w:val="00E96CA7"/>
    <w:rsid w:val="00EA00CC"/>
    <w:rsid w:val="00EA0531"/>
    <w:rsid w:val="00EA290A"/>
    <w:rsid w:val="00EA331B"/>
    <w:rsid w:val="00EA3554"/>
    <w:rsid w:val="00EA61D4"/>
    <w:rsid w:val="00EA6C8F"/>
    <w:rsid w:val="00EA77E7"/>
    <w:rsid w:val="00EA7C35"/>
    <w:rsid w:val="00EB146A"/>
    <w:rsid w:val="00EB4F86"/>
    <w:rsid w:val="00EB55CD"/>
    <w:rsid w:val="00EB5998"/>
    <w:rsid w:val="00EB5BCA"/>
    <w:rsid w:val="00EB5FC7"/>
    <w:rsid w:val="00EB713A"/>
    <w:rsid w:val="00EC0463"/>
    <w:rsid w:val="00EC4E24"/>
    <w:rsid w:val="00EC5426"/>
    <w:rsid w:val="00EC56CA"/>
    <w:rsid w:val="00EC6987"/>
    <w:rsid w:val="00EC78F8"/>
    <w:rsid w:val="00EC7B60"/>
    <w:rsid w:val="00ED22FF"/>
    <w:rsid w:val="00ED2890"/>
    <w:rsid w:val="00ED2A05"/>
    <w:rsid w:val="00ED5642"/>
    <w:rsid w:val="00ED744C"/>
    <w:rsid w:val="00ED785D"/>
    <w:rsid w:val="00EE2D1A"/>
    <w:rsid w:val="00EE377B"/>
    <w:rsid w:val="00EE38B6"/>
    <w:rsid w:val="00EE3EEE"/>
    <w:rsid w:val="00EE4004"/>
    <w:rsid w:val="00EE6139"/>
    <w:rsid w:val="00EE67FE"/>
    <w:rsid w:val="00EE79A6"/>
    <w:rsid w:val="00EF2C9B"/>
    <w:rsid w:val="00EF35DD"/>
    <w:rsid w:val="00EF5D6F"/>
    <w:rsid w:val="00EF6B81"/>
    <w:rsid w:val="00EF7704"/>
    <w:rsid w:val="00F007EB"/>
    <w:rsid w:val="00F01048"/>
    <w:rsid w:val="00F03A34"/>
    <w:rsid w:val="00F077E3"/>
    <w:rsid w:val="00F126D8"/>
    <w:rsid w:val="00F1353A"/>
    <w:rsid w:val="00F13654"/>
    <w:rsid w:val="00F142A8"/>
    <w:rsid w:val="00F143A0"/>
    <w:rsid w:val="00F1476E"/>
    <w:rsid w:val="00F150EF"/>
    <w:rsid w:val="00F1583B"/>
    <w:rsid w:val="00F174E8"/>
    <w:rsid w:val="00F20129"/>
    <w:rsid w:val="00F241E1"/>
    <w:rsid w:val="00F25786"/>
    <w:rsid w:val="00F328E6"/>
    <w:rsid w:val="00F352BA"/>
    <w:rsid w:val="00F35359"/>
    <w:rsid w:val="00F35C3E"/>
    <w:rsid w:val="00F40A21"/>
    <w:rsid w:val="00F420D9"/>
    <w:rsid w:val="00F42141"/>
    <w:rsid w:val="00F46194"/>
    <w:rsid w:val="00F465AA"/>
    <w:rsid w:val="00F46DE5"/>
    <w:rsid w:val="00F518EA"/>
    <w:rsid w:val="00F551AA"/>
    <w:rsid w:val="00F60B03"/>
    <w:rsid w:val="00F631A8"/>
    <w:rsid w:val="00F638CD"/>
    <w:rsid w:val="00F64A6A"/>
    <w:rsid w:val="00F650FB"/>
    <w:rsid w:val="00F675A8"/>
    <w:rsid w:val="00F67C20"/>
    <w:rsid w:val="00F67E18"/>
    <w:rsid w:val="00F72447"/>
    <w:rsid w:val="00F73CAD"/>
    <w:rsid w:val="00F73D09"/>
    <w:rsid w:val="00F73E8A"/>
    <w:rsid w:val="00F74D29"/>
    <w:rsid w:val="00F75DDB"/>
    <w:rsid w:val="00F76ABA"/>
    <w:rsid w:val="00F770F7"/>
    <w:rsid w:val="00F77DB1"/>
    <w:rsid w:val="00F77F82"/>
    <w:rsid w:val="00F81E98"/>
    <w:rsid w:val="00F82B8D"/>
    <w:rsid w:val="00F858A7"/>
    <w:rsid w:val="00F91496"/>
    <w:rsid w:val="00F93A55"/>
    <w:rsid w:val="00F96093"/>
    <w:rsid w:val="00F97E3C"/>
    <w:rsid w:val="00FA2799"/>
    <w:rsid w:val="00FA2D55"/>
    <w:rsid w:val="00FA47AE"/>
    <w:rsid w:val="00FA4E10"/>
    <w:rsid w:val="00FA6A95"/>
    <w:rsid w:val="00FB07BD"/>
    <w:rsid w:val="00FC0BF5"/>
    <w:rsid w:val="00FC3CB5"/>
    <w:rsid w:val="00FC462F"/>
    <w:rsid w:val="00FC61EC"/>
    <w:rsid w:val="00FD0943"/>
    <w:rsid w:val="00FD0DA3"/>
    <w:rsid w:val="00FD1077"/>
    <w:rsid w:val="00FD2FE9"/>
    <w:rsid w:val="00FD44AC"/>
    <w:rsid w:val="00FD4FF0"/>
    <w:rsid w:val="00FD502E"/>
    <w:rsid w:val="00FD592D"/>
    <w:rsid w:val="00FD63E3"/>
    <w:rsid w:val="00FD6CB8"/>
    <w:rsid w:val="00FD7FB2"/>
    <w:rsid w:val="00FE1B83"/>
    <w:rsid w:val="00FE2458"/>
    <w:rsid w:val="00FE3CC9"/>
    <w:rsid w:val="00FE6163"/>
    <w:rsid w:val="00FE6804"/>
    <w:rsid w:val="00FF0950"/>
    <w:rsid w:val="00FF1D53"/>
    <w:rsid w:val="00FF1F1C"/>
    <w:rsid w:val="00FF5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7828EC"/>
  <w15:chartTrackingRefBased/>
  <w15:docId w15:val="{868A48C8-0EFC-D64D-9524-669C3E2FD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37F"/>
    <w:rPr>
      <w:rFonts w:asciiTheme="minorHAnsi" w:eastAsia="Times New Roman" w:hAnsiTheme="minorHAnsi"/>
      <w:sz w:val="22"/>
      <w:szCs w:val="24"/>
    </w:rPr>
  </w:style>
  <w:style w:type="paragraph" w:styleId="Heading1">
    <w:name w:val="heading 1"/>
    <w:basedOn w:val="Normal"/>
    <w:next w:val="Normal"/>
    <w:link w:val="Heading1Char"/>
    <w:uiPriority w:val="9"/>
    <w:qFormat/>
    <w:rsid w:val="00492ACD"/>
    <w:pPr>
      <w:widowControl w:val="0"/>
      <w:tabs>
        <w:tab w:val="left" w:pos="425"/>
      </w:tabs>
      <w:outlineLvl w:val="0"/>
    </w:pPr>
    <w:rPr>
      <w:rFonts w:ascii="Calibri" w:hAnsi="Calibri"/>
      <w:b/>
      <w:caps/>
      <w:color w:val="000000"/>
      <w:szCs w:val="36"/>
      <w:lang w:val="en-US" w:eastAsia="en-US"/>
    </w:rPr>
  </w:style>
  <w:style w:type="paragraph" w:styleId="Heading2">
    <w:name w:val="heading 2"/>
    <w:basedOn w:val="Normal"/>
    <w:next w:val="Normal"/>
    <w:link w:val="Heading2Char"/>
    <w:uiPriority w:val="9"/>
    <w:unhideWhenUsed/>
    <w:qFormat/>
    <w:rsid w:val="00492ACD"/>
    <w:pPr>
      <w:keepNext/>
      <w:keepLines/>
      <w:outlineLvl w:val="1"/>
    </w:pPr>
    <w:rPr>
      <w:b/>
      <w:szCs w:val="26"/>
      <w:lang w:eastAsia="en-US"/>
    </w:rPr>
  </w:style>
  <w:style w:type="paragraph" w:styleId="Heading3">
    <w:name w:val="heading 3"/>
    <w:basedOn w:val="Normal"/>
    <w:next w:val="Normal"/>
    <w:link w:val="Heading3Char"/>
    <w:uiPriority w:val="9"/>
    <w:unhideWhenUsed/>
    <w:qFormat/>
    <w:rsid w:val="00411C71"/>
    <w:pPr>
      <w:keepNext/>
      <w:keepLines/>
      <w:spacing w:before="40" w:line="480" w:lineRule="auto"/>
      <w:outlineLvl w:val="2"/>
    </w:pPr>
    <w:rPr>
      <w:rFonts w:ascii="Calibri Light" w:hAnsi="Calibri Light"/>
      <w:color w:val="1F3763"/>
      <w:lang w:eastAsia="en-US"/>
    </w:rPr>
  </w:style>
  <w:style w:type="paragraph" w:styleId="Heading4">
    <w:name w:val="heading 4"/>
    <w:basedOn w:val="Normal"/>
    <w:next w:val="Normal"/>
    <w:link w:val="Heading4Char"/>
    <w:uiPriority w:val="9"/>
    <w:unhideWhenUsed/>
    <w:qFormat/>
    <w:rsid w:val="00411C71"/>
    <w:pPr>
      <w:keepNext/>
      <w:keepLines/>
      <w:spacing w:before="40" w:line="480" w:lineRule="auto"/>
      <w:outlineLvl w:val="3"/>
    </w:pPr>
    <w:rPr>
      <w:rFonts w:ascii="Calibri Light" w:hAnsi="Calibri Light"/>
      <w:i/>
      <w:iCs/>
      <w:color w:val="2F5496"/>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2ACD"/>
    <w:rPr>
      <w:rFonts w:eastAsia="Times New Roman"/>
      <w:b/>
      <w:caps/>
      <w:color w:val="000000"/>
      <w:sz w:val="22"/>
      <w:szCs w:val="36"/>
      <w:lang w:val="en-US" w:eastAsia="en-US"/>
    </w:rPr>
  </w:style>
  <w:style w:type="character" w:customStyle="1" w:styleId="Heading2Char">
    <w:name w:val="Heading 2 Char"/>
    <w:link w:val="Heading2"/>
    <w:uiPriority w:val="9"/>
    <w:rsid w:val="00492ACD"/>
    <w:rPr>
      <w:rFonts w:asciiTheme="minorHAnsi" w:eastAsia="Times New Roman" w:hAnsiTheme="minorHAnsi"/>
      <w:b/>
      <w:sz w:val="22"/>
      <w:szCs w:val="26"/>
      <w:lang w:eastAsia="en-US"/>
    </w:rPr>
  </w:style>
  <w:style w:type="character" w:customStyle="1" w:styleId="Heading3Char">
    <w:name w:val="Heading 3 Char"/>
    <w:link w:val="Heading3"/>
    <w:uiPriority w:val="9"/>
    <w:rsid w:val="00411C71"/>
    <w:rPr>
      <w:rFonts w:ascii="Calibri Light" w:eastAsia="Times New Roman" w:hAnsi="Calibri Light" w:cs="Times New Roman"/>
      <w:color w:val="1F3763"/>
    </w:rPr>
  </w:style>
  <w:style w:type="character" w:customStyle="1" w:styleId="Heading4Char">
    <w:name w:val="Heading 4 Char"/>
    <w:link w:val="Heading4"/>
    <w:uiPriority w:val="9"/>
    <w:rsid w:val="00411C71"/>
    <w:rPr>
      <w:rFonts w:ascii="Calibri Light" w:eastAsia="Times New Roman" w:hAnsi="Calibri Light" w:cs="Times New Roman"/>
      <w:i/>
      <w:iCs/>
      <w:color w:val="2F5496"/>
      <w:sz w:val="22"/>
      <w:szCs w:val="22"/>
    </w:rPr>
  </w:style>
  <w:style w:type="table" w:styleId="TableGrid">
    <w:name w:val="Table Grid"/>
    <w:basedOn w:val="TableNormal"/>
    <w:uiPriority w:val="59"/>
    <w:rsid w:val="00411C71"/>
    <w:pPr>
      <w:jc w:val="center"/>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C71"/>
    <w:pPr>
      <w:spacing w:line="480" w:lineRule="auto"/>
    </w:pPr>
    <w:rPr>
      <w:rFonts w:ascii="Segoe UI" w:eastAsia="Calibri" w:hAnsi="Segoe UI" w:cs="Segoe UI"/>
      <w:sz w:val="18"/>
      <w:szCs w:val="18"/>
      <w:lang w:eastAsia="en-US"/>
    </w:rPr>
  </w:style>
  <w:style w:type="character" w:customStyle="1" w:styleId="BalloonTextChar">
    <w:name w:val="Balloon Text Char"/>
    <w:link w:val="BalloonText"/>
    <w:uiPriority w:val="99"/>
    <w:semiHidden/>
    <w:rsid w:val="00411C71"/>
    <w:rPr>
      <w:rFonts w:ascii="Segoe UI" w:hAnsi="Segoe UI" w:cs="Segoe UI"/>
      <w:sz w:val="18"/>
      <w:szCs w:val="18"/>
    </w:rPr>
  </w:style>
  <w:style w:type="paragraph" w:styleId="ListParagraph">
    <w:name w:val="List Paragraph"/>
    <w:basedOn w:val="Normal"/>
    <w:uiPriority w:val="34"/>
    <w:qFormat/>
    <w:rsid w:val="00411C71"/>
    <w:pPr>
      <w:spacing w:line="480" w:lineRule="auto"/>
      <w:ind w:left="720"/>
      <w:contextualSpacing/>
    </w:pPr>
    <w:rPr>
      <w:rFonts w:ascii="Calibri" w:hAnsi="Calibri"/>
      <w:szCs w:val="22"/>
      <w:lang w:val="en-US" w:eastAsia="en-US"/>
    </w:rPr>
  </w:style>
  <w:style w:type="paragraph" w:styleId="Footer">
    <w:name w:val="footer"/>
    <w:basedOn w:val="Normal"/>
    <w:link w:val="FooterChar"/>
    <w:uiPriority w:val="99"/>
    <w:unhideWhenUsed/>
    <w:rsid w:val="00411C71"/>
    <w:pPr>
      <w:tabs>
        <w:tab w:val="center" w:pos="4513"/>
        <w:tab w:val="right" w:pos="9026"/>
      </w:tabs>
      <w:spacing w:line="480" w:lineRule="auto"/>
    </w:pPr>
    <w:rPr>
      <w:rFonts w:ascii="Calibri" w:hAnsi="Calibri"/>
      <w:szCs w:val="22"/>
      <w:lang w:val="en-US" w:eastAsia="en-US"/>
    </w:rPr>
  </w:style>
  <w:style w:type="character" w:customStyle="1" w:styleId="FooterChar">
    <w:name w:val="Footer Char"/>
    <w:link w:val="Footer"/>
    <w:uiPriority w:val="99"/>
    <w:rsid w:val="00411C71"/>
    <w:rPr>
      <w:rFonts w:eastAsia="Times New Roman"/>
      <w:sz w:val="22"/>
      <w:szCs w:val="22"/>
      <w:lang w:val="en-US"/>
    </w:rPr>
  </w:style>
  <w:style w:type="paragraph" w:styleId="NoSpacing">
    <w:name w:val="No Spacing"/>
    <w:uiPriority w:val="1"/>
    <w:qFormat/>
    <w:rsid w:val="00411C71"/>
    <w:pPr>
      <w:jc w:val="center"/>
    </w:pPr>
    <w:rPr>
      <w:sz w:val="22"/>
      <w:szCs w:val="22"/>
      <w:lang w:eastAsia="en-US"/>
    </w:rPr>
  </w:style>
  <w:style w:type="paragraph" w:styleId="Bibliography">
    <w:name w:val="Bibliography"/>
    <w:basedOn w:val="Normal"/>
    <w:next w:val="Normal"/>
    <w:uiPriority w:val="37"/>
    <w:unhideWhenUsed/>
    <w:rsid w:val="00411C71"/>
    <w:pPr>
      <w:tabs>
        <w:tab w:val="left" w:pos="504"/>
      </w:tabs>
      <w:spacing w:after="240" w:line="480" w:lineRule="auto"/>
      <w:ind w:left="504" w:hanging="504"/>
    </w:pPr>
    <w:rPr>
      <w:rFonts w:ascii="Calibri" w:eastAsia="Calibri" w:hAnsi="Calibri"/>
      <w:szCs w:val="22"/>
      <w:lang w:eastAsia="en-US"/>
    </w:rPr>
  </w:style>
  <w:style w:type="character" w:styleId="LineNumber">
    <w:name w:val="line number"/>
    <w:basedOn w:val="DefaultParagraphFont"/>
    <w:uiPriority w:val="99"/>
    <w:semiHidden/>
    <w:unhideWhenUsed/>
    <w:rsid w:val="00411C71"/>
  </w:style>
  <w:style w:type="paragraph" w:styleId="Header">
    <w:name w:val="header"/>
    <w:basedOn w:val="Normal"/>
    <w:link w:val="HeaderChar"/>
    <w:uiPriority w:val="99"/>
    <w:unhideWhenUsed/>
    <w:rsid w:val="00411C71"/>
    <w:pPr>
      <w:tabs>
        <w:tab w:val="center" w:pos="4680"/>
        <w:tab w:val="right" w:pos="9360"/>
      </w:tabs>
      <w:spacing w:line="480" w:lineRule="auto"/>
    </w:pPr>
    <w:rPr>
      <w:rFonts w:ascii="Calibri" w:eastAsia="Calibri" w:hAnsi="Calibri"/>
      <w:szCs w:val="22"/>
      <w:lang w:eastAsia="en-US"/>
    </w:rPr>
  </w:style>
  <w:style w:type="character" w:customStyle="1" w:styleId="HeaderChar">
    <w:name w:val="Header Char"/>
    <w:link w:val="Header"/>
    <w:uiPriority w:val="99"/>
    <w:rsid w:val="00411C71"/>
    <w:rPr>
      <w:sz w:val="22"/>
      <w:szCs w:val="22"/>
    </w:rPr>
  </w:style>
  <w:style w:type="character" w:styleId="CommentReference">
    <w:name w:val="annotation reference"/>
    <w:uiPriority w:val="99"/>
    <w:semiHidden/>
    <w:unhideWhenUsed/>
    <w:rsid w:val="00411C71"/>
    <w:rPr>
      <w:rFonts w:cs="Times New Roman"/>
      <w:sz w:val="16"/>
    </w:rPr>
  </w:style>
  <w:style w:type="paragraph" w:styleId="CommentText">
    <w:name w:val="annotation text"/>
    <w:basedOn w:val="Normal"/>
    <w:link w:val="CommentTextChar"/>
    <w:uiPriority w:val="99"/>
    <w:unhideWhenUsed/>
    <w:rsid w:val="00411C71"/>
    <w:pPr>
      <w:spacing w:after="160" w:line="480" w:lineRule="auto"/>
    </w:pPr>
    <w:rPr>
      <w:rFonts w:ascii="Calibri" w:hAnsi="Calibri"/>
      <w:sz w:val="20"/>
      <w:szCs w:val="20"/>
      <w:lang w:val="nl-NL" w:eastAsia="en-US"/>
    </w:rPr>
  </w:style>
  <w:style w:type="character" w:customStyle="1" w:styleId="CommentTextChar">
    <w:name w:val="Comment Text Char"/>
    <w:link w:val="CommentText"/>
    <w:uiPriority w:val="99"/>
    <w:rsid w:val="00411C71"/>
    <w:rPr>
      <w:rFonts w:ascii="Calibri" w:eastAsia="Times New Roman" w:hAnsi="Calibri"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411C71"/>
    <w:pPr>
      <w:spacing w:after="0"/>
      <w:jc w:val="center"/>
    </w:pPr>
    <w:rPr>
      <w:rFonts w:eastAsia="Calibri"/>
      <w:b/>
      <w:bCs/>
      <w:lang w:val="en-GB"/>
    </w:rPr>
  </w:style>
  <w:style w:type="character" w:customStyle="1" w:styleId="CommentSubjectChar">
    <w:name w:val="Comment Subject Char"/>
    <w:link w:val="CommentSubject"/>
    <w:uiPriority w:val="99"/>
    <w:semiHidden/>
    <w:rsid w:val="00411C71"/>
    <w:rPr>
      <w:rFonts w:ascii="Calibri" w:eastAsia="Times New Roman" w:hAnsi="Calibri" w:cs="Times New Roman"/>
      <w:b/>
      <w:bCs/>
      <w:sz w:val="20"/>
      <w:szCs w:val="20"/>
      <w:lang w:val="nl-NL"/>
    </w:rPr>
  </w:style>
  <w:style w:type="paragraph" w:styleId="NormalWeb">
    <w:name w:val="Normal (Web)"/>
    <w:basedOn w:val="Normal"/>
    <w:uiPriority w:val="99"/>
    <w:semiHidden/>
    <w:unhideWhenUsed/>
    <w:rsid w:val="00411C71"/>
    <w:pPr>
      <w:spacing w:before="100" w:beforeAutospacing="1" w:after="100" w:afterAutospacing="1"/>
    </w:pPr>
  </w:style>
  <w:style w:type="character" w:styleId="Hyperlink">
    <w:name w:val="Hyperlink"/>
    <w:uiPriority w:val="99"/>
    <w:unhideWhenUsed/>
    <w:rsid w:val="00411C71"/>
    <w:rPr>
      <w:color w:val="0000FF"/>
      <w:u w:val="single"/>
    </w:rPr>
  </w:style>
  <w:style w:type="character" w:customStyle="1" w:styleId="UnresolvedMention1">
    <w:name w:val="Unresolved Mention1"/>
    <w:uiPriority w:val="99"/>
    <w:semiHidden/>
    <w:unhideWhenUsed/>
    <w:rsid w:val="00411C71"/>
    <w:rPr>
      <w:color w:val="605E5C"/>
      <w:shd w:val="clear" w:color="auto" w:fill="E1DFDD"/>
    </w:rPr>
  </w:style>
  <w:style w:type="paragraph" w:customStyle="1" w:styleId="Table">
    <w:name w:val="Table"/>
    <w:basedOn w:val="Normal"/>
    <w:qFormat/>
    <w:rsid w:val="00411C71"/>
    <w:rPr>
      <w:rFonts w:ascii="Calibri" w:eastAsia="Calibri" w:hAnsi="Calibri"/>
      <w:noProof/>
      <w:szCs w:val="22"/>
      <w:lang w:eastAsia="en-US"/>
    </w:rPr>
  </w:style>
  <w:style w:type="table" w:customStyle="1" w:styleId="TableGrid1">
    <w:name w:val="Table Grid1"/>
    <w:basedOn w:val="TableNormal"/>
    <w:next w:val="TableGrid"/>
    <w:uiPriority w:val="39"/>
    <w:rsid w:val="00411C71"/>
    <w:pPr>
      <w:ind w:firstLine="36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11C71"/>
    <w:pPr>
      <w:ind w:firstLine="36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768B9"/>
  </w:style>
  <w:style w:type="paragraph" w:styleId="Caption">
    <w:name w:val="caption"/>
    <w:basedOn w:val="Normal"/>
    <w:next w:val="Normal"/>
    <w:uiPriority w:val="35"/>
    <w:unhideWhenUsed/>
    <w:qFormat/>
    <w:rsid w:val="00084F78"/>
    <w:pPr>
      <w:spacing w:after="200"/>
    </w:pPr>
    <w:rPr>
      <w:rFonts w:ascii="Calibri" w:eastAsia="Calibri" w:hAnsi="Calibri"/>
      <w:i/>
      <w:iCs/>
      <w:color w:val="44546A" w:themeColor="text2"/>
      <w:sz w:val="18"/>
      <w:szCs w:val="18"/>
      <w:lang w:eastAsia="en-US"/>
    </w:rPr>
  </w:style>
  <w:style w:type="paragraph" w:styleId="Revision">
    <w:name w:val="Revision"/>
    <w:hidden/>
    <w:uiPriority w:val="99"/>
    <w:semiHidden/>
    <w:rsid w:val="00AF68D7"/>
    <w:rPr>
      <w:sz w:val="22"/>
      <w:szCs w:val="22"/>
      <w:lang w:eastAsia="en-US"/>
    </w:rPr>
  </w:style>
  <w:style w:type="paragraph" w:styleId="TOC1">
    <w:name w:val="toc 1"/>
    <w:basedOn w:val="Normal"/>
    <w:next w:val="Normal"/>
    <w:autoRedefine/>
    <w:uiPriority w:val="39"/>
    <w:unhideWhenUsed/>
    <w:rsid w:val="00E83315"/>
    <w:pPr>
      <w:tabs>
        <w:tab w:val="right" w:pos="9062"/>
      </w:tabs>
      <w:spacing w:after="120" w:line="360" w:lineRule="auto"/>
    </w:pPr>
    <w:rPr>
      <w:rFonts w:eastAsia="Calibri" w:cstheme="majorHAnsi"/>
      <w:b/>
      <w:bCs/>
      <w:caps/>
      <w:lang w:eastAsia="en-US"/>
    </w:rPr>
  </w:style>
  <w:style w:type="paragraph" w:styleId="TOC2">
    <w:name w:val="toc 2"/>
    <w:basedOn w:val="Normal"/>
    <w:next w:val="Normal"/>
    <w:autoRedefine/>
    <w:uiPriority w:val="39"/>
    <w:unhideWhenUsed/>
    <w:rsid w:val="00A61BF8"/>
    <w:pPr>
      <w:tabs>
        <w:tab w:val="right" w:pos="9062"/>
      </w:tabs>
      <w:spacing w:after="120"/>
      <w:ind w:left="425"/>
    </w:pPr>
    <w:rPr>
      <w:rFonts w:eastAsia="Calibri" w:cstheme="minorHAnsi"/>
      <w:b/>
      <w:bCs/>
      <w:szCs w:val="20"/>
      <w:lang w:eastAsia="en-US"/>
    </w:rPr>
  </w:style>
  <w:style w:type="paragraph" w:styleId="TOC3">
    <w:name w:val="toc 3"/>
    <w:basedOn w:val="Normal"/>
    <w:next w:val="Normal"/>
    <w:autoRedefine/>
    <w:uiPriority w:val="39"/>
    <w:unhideWhenUsed/>
    <w:rsid w:val="00A47F45"/>
    <w:pPr>
      <w:spacing w:line="480" w:lineRule="auto"/>
      <w:ind w:left="220"/>
    </w:pPr>
    <w:rPr>
      <w:rFonts w:eastAsia="Calibri" w:cstheme="minorHAnsi"/>
      <w:sz w:val="20"/>
      <w:szCs w:val="20"/>
      <w:lang w:eastAsia="en-US"/>
    </w:rPr>
  </w:style>
  <w:style w:type="paragraph" w:styleId="TOC4">
    <w:name w:val="toc 4"/>
    <w:basedOn w:val="Normal"/>
    <w:next w:val="Normal"/>
    <w:autoRedefine/>
    <w:uiPriority w:val="39"/>
    <w:unhideWhenUsed/>
    <w:rsid w:val="00A47F45"/>
    <w:pPr>
      <w:spacing w:line="480" w:lineRule="auto"/>
      <w:ind w:left="440"/>
    </w:pPr>
    <w:rPr>
      <w:rFonts w:eastAsia="Calibri" w:cstheme="minorHAnsi"/>
      <w:sz w:val="20"/>
      <w:szCs w:val="20"/>
      <w:lang w:eastAsia="en-US"/>
    </w:rPr>
  </w:style>
  <w:style w:type="paragraph" w:styleId="TOC5">
    <w:name w:val="toc 5"/>
    <w:basedOn w:val="Normal"/>
    <w:next w:val="Normal"/>
    <w:autoRedefine/>
    <w:uiPriority w:val="39"/>
    <w:unhideWhenUsed/>
    <w:rsid w:val="00A47F45"/>
    <w:pPr>
      <w:spacing w:line="480" w:lineRule="auto"/>
      <w:ind w:left="660"/>
    </w:pPr>
    <w:rPr>
      <w:rFonts w:eastAsia="Calibri" w:cstheme="minorHAnsi"/>
      <w:sz w:val="20"/>
      <w:szCs w:val="20"/>
      <w:lang w:eastAsia="en-US"/>
    </w:rPr>
  </w:style>
  <w:style w:type="paragraph" w:styleId="TOC6">
    <w:name w:val="toc 6"/>
    <w:basedOn w:val="Normal"/>
    <w:next w:val="Normal"/>
    <w:autoRedefine/>
    <w:uiPriority w:val="39"/>
    <w:unhideWhenUsed/>
    <w:rsid w:val="00A47F45"/>
    <w:pPr>
      <w:spacing w:line="480" w:lineRule="auto"/>
      <w:ind w:left="880"/>
    </w:pPr>
    <w:rPr>
      <w:rFonts w:eastAsia="Calibri" w:cstheme="minorHAnsi"/>
      <w:sz w:val="20"/>
      <w:szCs w:val="20"/>
      <w:lang w:eastAsia="en-US"/>
    </w:rPr>
  </w:style>
  <w:style w:type="paragraph" w:styleId="TOC7">
    <w:name w:val="toc 7"/>
    <w:basedOn w:val="Normal"/>
    <w:next w:val="Normal"/>
    <w:autoRedefine/>
    <w:uiPriority w:val="39"/>
    <w:unhideWhenUsed/>
    <w:rsid w:val="00A47F45"/>
    <w:pPr>
      <w:spacing w:line="480" w:lineRule="auto"/>
      <w:ind w:left="1100"/>
    </w:pPr>
    <w:rPr>
      <w:rFonts w:eastAsia="Calibri" w:cstheme="minorHAnsi"/>
      <w:sz w:val="20"/>
      <w:szCs w:val="20"/>
      <w:lang w:eastAsia="en-US"/>
    </w:rPr>
  </w:style>
  <w:style w:type="paragraph" w:styleId="TOC8">
    <w:name w:val="toc 8"/>
    <w:basedOn w:val="Normal"/>
    <w:next w:val="Normal"/>
    <w:autoRedefine/>
    <w:uiPriority w:val="39"/>
    <w:unhideWhenUsed/>
    <w:rsid w:val="00A47F45"/>
    <w:pPr>
      <w:spacing w:line="480" w:lineRule="auto"/>
      <w:ind w:left="1320"/>
    </w:pPr>
    <w:rPr>
      <w:rFonts w:eastAsia="Calibri" w:cstheme="minorHAnsi"/>
      <w:sz w:val="20"/>
      <w:szCs w:val="20"/>
      <w:lang w:eastAsia="en-US"/>
    </w:rPr>
  </w:style>
  <w:style w:type="paragraph" w:styleId="TOC9">
    <w:name w:val="toc 9"/>
    <w:basedOn w:val="Normal"/>
    <w:next w:val="Normal"/>
    <w:autoRedefine/>
    <w:uiPriority w:val="39"/>
    <w:unhideWhenUsed/>
    <w:rsid w:val="00A47F45"/>
    <w:pPr>
      <w:spacing w:line="480" w:lineRule="auto"/>
      <w:ind w:left="1540"/>
    </w:pPr>
    <w:rPr>
      <w:rFonts w:eastAsia="Calibri" w:cstheme="minorHAnsi"/>
      <w:sz w:val="20"/>
      <w:szCs w:val="20"/>
      <w:lang w:eastAsia="en-US"/>
    </w:rPr>
  </w:style>
  <w:style w:type="character" w:styleId="SubtleEmphasis">
    <w:name w:val="Subtle Emphasis"/>
    <w:basedOn w:val="DefaultParagraphFont"/>
    <w:uiPriority w:val="19"/>
    <w:qFormat/>
    <w:rsid w:val="00D87040"/>
    <w:rPr>
      <w:i/>
      <w:iCs/>
      <w:color w:val="404040" w:themeColor="text1" w:themeTint="BF"/>
    </w:rPr>
  </w:style>
  <w:style w:type="character" w:styleId="Emphasis">
    <w:name w:val="Emphasis"/>
    <w:basedOn w:val="DefaultParagraphFont"/>
    <w:uiPriority w:val="20"/>
    <w:qFormat/>
    <w:rsid w:val="00D37FB3"/>
    <w:rPr>
      <w:i/>
      <w:iCs/>
    </w:rPr>
  </w:style>
  <w:style w:type="character" w:styleId="FollowedHyperlink">
    <w:name w:val="FollowedHyperlink"/>
    <w:basedOn w:val="DefaultParagraphFont"/>
    <w:uiPriority w:val="99"/>
    <w:semiHidden/>
    <w:unhideWhenUsed/>
    <w:rsid w:val="005868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649636">
      <w:bodyDiv w:val="1"/>
      <w:marLeft w:val="0"/>
      <w:marRight w:val="0"/>
      <w:marTop w:val="0"/>
      <w:marBottom w:val="0"/>
      <w:divBdr>
        <w:top w:val="none" w:sz="0" w:space="0" w:color="auto"/>
        <w:left w:val="none" w:sz="0" w:space="0" w:color="auto"/>
        <w:bottom w:val="none" w:sz="0" w:space="0" w:color="auto"/>
        <w:right w:val="none" w:sz="0" w:space="0" w:color="auto"/>
      </w:divBdr>
    </w:div>
    <w:div w:id="229851215">
      <w:bodyDiv w:val="1"/>
      <w:marLeft w:val="0"/>
      <w:marRight w:val="0"/>
      <w:marTop w:val="0"/>
      <w:marBottom w:val="0"/>
      <w:divBdr>
        <w:top w:val="none" w:sz="0" w:space="0" w:color="auto"/>
        <w:left w:val="none" w:sz="0" w:space="0" w:color="auto"/>
        <w:bottom w:val="none" w:sz="0" w:space="0" w:color="auto"/>
        <w:right w:val="none" w:sz="0" w:space="0" w:color="auto"/>
      </w:divBdr>
    </w:div>
    <w:div w:id="247691808">
      <w:bodyDiv w:val="1"/>
      <w:marLeft w:val="0"/>
      <w:marRight w:val="0"/>
      <w:marTop w:val="0"/>
      <w:marBottom w:val="0"/>
      <w:divBdr>
        <w:top w:val="none" w:sz="0" w:space="0" w:color="auto"/>
        <w:left w:val="none" w:sz="0" w:space="0" w:color="auto"/>
        <w:bottom w:val="none" w:sz="0" w:space="0" w:color="auto"/>
        <w:right w:val="none" w:sz="0" w:space="0" w:color="auto"/>
      </w:divBdr>
      <w:divsChild>
        <w:div w:id="635455787">
          <w:marLeft w:val="0"/>
          <w:marRight w:val="0"/>
          <w:marTop w:val="0"/>
          <w:marBottom w:val="0"/>
          <w:divBdr>
            <w:top w:val="none" w:sz="0" w:space="0" w:color="auto"/>
            <w:left w:val="none" w:sz="0" w:space="0" w:color="auto"/>
            <w:bottom w:val="none" w:sz="0" w:space="0" w:color="auto"/>
            <w:right w:val="none" w:sz="0" w:space="0" w:color="auto"/>
          </w:divBdr>
          <w:divsChild>
            <w:div w:id="1573394525">
              <w:marLeft w:val="0"/>
              <w:marRight w:val="0"/>
              <w:marTop w:val="0"/>
              <w:marBottom w:val="0"/>
              <w:divBdr>
                <w:top w:val="none" w:sz="0" w:space="0" w:color="auto"/>
                <w:left w:val="none" w:sz="0" w:space="0" w:color="auto"/>
                <w:bottom w:val="none" w:sz="0" w:space="0" w:color="auto"/>
                <w:right w:val="none" w:sz="0" w:space="0" w:color="auto"/>
              </w:divBdr>
              <w:divsChild>
                <w:div w:id="2091079422">
                  <w:marLeft w:val="0"/>
                  <w:marRight w:val="0"/>
                  <w:marTop w:val="0"/>
                  <w:marBottom w:val="0"/>
                  <w:divBdr>
                    <w:top w:val="none" w:sz="0" w:space="0" w:color="auto"/>
                    <w:left w:val="none" w:sz="0" w:space="0" w:color="auto"/>
                    <w:bottom w:val="none" w:sz="0" w:space="0" w:color="auto"/>
                    <w:right w:val="none" w:sz="0" w:space="0" w:color="auto"/>
                  </w:divBdr>
                  <w:divsChild>
                    <w:div w:id="791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30486">
      <w:bodyDiv w:val="1"/>
      <w:marLeft w:val="0"/>
      <w:marRight w:val="0"/>
      <w:marTop w:val="0"/>
      <w:marBottom w:val="0"/>
      <w:divBdr>
        <w:top w:val="none" w:sz="0" w:space="0" w:color="auto"/>
        <w:left w:val="none" w:sz="0" w:space="0" w:color="auto"/>
        <w:bottom w:val="none" w:sz="0" w:space="0" w:color="auto"/>
        <w:right w:val="none" w:sz="0" w:space="0" w:color="auto"/>
      </w:divBdr>
    </w:div>
    <w:div w:id="294219831">
      <w:bodyDiv w:val="1"/>
      <w:marLeft w:val="0"/>
      <w:marRight w:val="0"/>
      <w:marTop w:val="0"/>
      <w:marBottom w:val="0"/>
      <w:divBdr>
        <w:top w:val="none" w:sz="0" w:space="0" w:color="auto"/>
        <w:left w:val="none" w:sz="0" w:space="0" w:color="auto"/>
        <w:bottom w:val="none" w:sz="0" w:space="0" w:color="auto"/>
        <w:right w:val="none" w:sz="0" w:space="0" w:color="auto"/>
      </w:divBdr>
    </w:div>
    <w:div w:id="555314166">
      <w:bodyDiv w:val="1"/>
      <w:marLeft w:val="0"/>
      <w:marRight w:val="0"/>
      <w:marTop w:val="0"/>
      <w:marBottom w:val="0"/>
      <w:divBdr>
        <w:top w:val="none" w:sz="0" w:space="0" w:color="auto"/>
        <w:left w:val="none" w:sz="0" w:space="0" w:color="auto"/>
        <w:bottom w:val="none" w:sz="0" w:space="0" w:color="auto"/>
        <w:right w:val="none" w:sz="0" w:space="0" w:color="auto"/>
      </w:divBdr>
    </w:div>
    <w:div w:id="592012738">
      <w:bodyDiv w:val="1"/>
      <w:marLeft w:val="0"/>
      <w:marRight w:val="0"/>
      <w:marTop w:val="0"/>
      <w:marBottom w:val="0"/>
      <w:divBdr>
        <w:top w:val="none" w:sz="0" w:space="0" w:color="auto"/>
        <w:left w:val="none" w:sz="0" w:space="0" w:color="auto"/>
        <w:bottom w:val="none" w:sz="0" w:space="0" w:color="auto"/>
        <w:right w:val="none" w:sz="0" w:space="0" w:color="auto"/>
      </w:divBdr>
    </w:div>
    <w:div w:id="688335402">
      <w:bodyDiv w:val="1"/>
      <w:marLeft w:val="0"/>
      <w:marRight w:val="0"/>
      <w:marTop w:val="0"/>
      <w:marBottom w:val="0"/>
      <w:divBdr>
        <w:top w:val="none" w:sz="0" w:space="0" w:color="auto"/>
        <w:left w:val="none" w:sz="0" w:space="0" w:color="auto"/>
        <w:bottom w:val="none" w:sz="0" w:space="0" w:color="auto"/>
        <w:right w:val="none" w:sz="0" w:space="0" w:color="auto"/>
      </w:divBdr>
    </w:div>
    <w:div w:id="789786126">
      <w:bodyDiv w:val="1"/>
      <w:marLeft w:val="0"/>
      <w:marRight w:val="0"/>
      <w:marTop w:val="0"/>
      <w:marBottom w:val="0"/>
      <w:divBdr>
        <w:top w:val="none" w:sz="0" w:space="0" w:color="auto"/>
        <w:left w:val="none" w:sz="0" w:space="0" w:color="auto"/>
        <w:bottom w:val="none" w:sz="0" w:space="0" w:color="auto"/>
        <w:right w:val="none" w:sz="0" w:space="0" w:color="auto"/>
      </w:divBdr>
    </w:div>
    <w:div w:id="823354915">
      <w:bodyDiv w:val="1"/>
      <w:marLeft w:val="0"/>
      <w:marRight w:val="0"/>
      <w:marTop w:val="0"/>
      <w:marBottom w:val="0"/>
      <w:divBdr>
        <w:top w:val="none" w:sz="0" w:space="0" w:color="auto"/>
        <w:left w:val="none" w:sz="0" w:space="0" w:color="auto"/>
        <w:bottom w:val="none" w:sz="0" w:space="0" w:color="auto"/>
        <w:right w:val="none" w:sz="0" w:space="0" w:color="auto"/>
      </w:divBdr>
    </w:div>
    <w:div w:id="939069919">
      <w:bodyDiv w:val="1"/>
      <w:marLeft w:val="0"/>
      <w:marRight w:val="0"/>
      <w:marTop w:val="0"/>
      <w:marBottom w:val="0"/>
      <w:divBdr>
        <w:top w:val="none" w:sz="0" w:space="0" w:color="auto"/>
        <w:left w:val="none" w:sz="0" w:space="0" w:color="auto"/>
        <w:bottom w:val="none" w:sz="0" w:space="0" w:color="auto"/>
        <w:right w:val="none" w:sz="0" w:space="0" w:color="auto"/>
      </w:divBdr>
    </w:div>
    <w:div w:id="1029406190">
      <w:bodyDiv w:val="1"/>
      <w:marLeft w:val="0"/>
      <w:marRight w:val="0"/>
      <w:marTop w:val="0"/>
      <w:marBottom w:val="0"/>
      <w:divBdr>
        <w:top w:val="none" w:sz="0" w:space="0" w:color="auto"/>
        <w:left w:val="none" w:sz="0" w:space="0" w:color="auto"/>
        <w:bottom w:val="none" w:sz="0" w:space="0" w:color="auto"/>
        <w:right w:val="none" w:sz="0" w:space="0" w:color="auto"/>
      </w:divBdr>
    </w:div>
    <w:div w:id="1125588417">
      <w:bodyDiv w:val="1"/>
      <w:marLeft w:val="0"/>
      <w:marRight w:val="0"/>
      <w:marTop w:val="0"/>
      <w:marBottom w:val="0"/>
      <w:divBdr>
        <w:top w:val="none" w:sz="0" w:space="0" w:color="auto"/>
        <w:left w:val="none" w:sz="0" w:space="0" w:color="auto"/>
        <w:bottom w:val="none" w:sz="0" w:space="0" w:color="auto"/>
        <w:right w:val="none" w:sz="0" w:space="0" w:color="auto"/>
      </w:divBdr>
      <w:divsChild>
        <w:div w:id="952829364">
          <w:marLeft w:val="0"/>
          <w:marRight w:val="0"/>
          <w:marTop w:val="0"/>
          <w:marBottom w:val="0"/>
          <w:divBdr>
            <w:top w:val="none" w:sz="0" w:space="0" w:color="auto"/>
            <w:left w:val="none" w:sz="0" w:space="0" w:color="auto"/>
            <w:bottom w:val="none" w:sz="0" w:space="0" w:color="auto"/>
            <w:right w:val="none" w:sz="0" w:space="0" w:color="auto"/>
          </w:divBdr>
          <w:divsChild>
            <w:div w:id="1407797098">
              <w:marLeft w:val="0"/>
              <w:marRight w:val="0"/>
              <w:marTop w:val="0"/>
              <w:marBottom w:val="0"/>
              <w:divBdr>
                <w:top w:val="none" w:sz="0" w:space="0" w:color="auto"/>
                <w:left w:val="none" w:sz="0" w:space="0" w:color="auto"/>
                <w:bottom w:val="none" w:sz="0" w:space="0" w:color="auto"/>
                <w:right w:val="none" w:sz="0" w:space="0" w:color="auto"/>
              </w:divBdr>
              <w:divsChild>
                <w:div w:id="4245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3401">
      <w:bodyDiv w:val="1"/>
      <w:marLeft w:val="0"/>
      <w:marRight w:val="0"/>
      <w:marTop w:val="0"/>
      <w:marBottom w:val="0"/>
      <w:divBdr>
        <w:top w:val="none" w:sz="0" w:space="0" w:color="auto"/>
        <w:left w:val="none" w:sz="0" w:space="0" w:color="auto"/>
        <w:bottom w:val="none" w:sz="0" w:space="0" w:color="auto"/>
        <w:right w:val="none" w:sz="0" w:space="0" w:color="auto"/>
      </w:divBdr>
    </w:div>
    <w:div w:id="1431392600">
      <w:bodyDiv w:val="1"/>
      <w:marLeft w:val="0"/>
      <w:marRight w:val="0"/>
      <w:marTop w:val="0"/>
      <w:marBottom w:val="0"/>
      <w:divBdr>
        <w:top w:val="none" w:sz="0" w:space="0" w:color="auto"/>
        <w:left w:val="none" w:sz="0" w:space="0" w:color="auto"/>
        <w:bottom w:val="none" w:sz="0" w:space="0" w:color="auto"/>
        <w:right w:val="none" w:sz="0" w:space="0" w:color="auto"/>
      </w:divBdr>
      <w:divsChild>
        <w:div w:id="1102872150">
          <w:marLeft w:val="0"/>
          <w:marRight w:val="0"/>
          <w:marTop w:val="0"/>
          <w:marBottom w:val="0"/>
          <w:divBdr>
            <w:top w:val="none" w:sz="0" w:space="0" w:color="auto"/>
            <w:left w:val="none" w:sz="0" w:space="0" w:color="auto"/>
            <w:bottom w:val="none" w:sz="0" w:space="0" w:color="auto"/>
            <w:right w:val="none" w:sz="0" w:space="0" w:color="auto"/>
          </w:divBdr>
          <w:divsChild>
            <w:div w:id="1032222033">
              <w:marLeft w:val="0"/>
              <w:marRight w:val="0"/>
              <w:marTop w:val="0"/>
              <w:marBottom w:val="0"/>
              <w:divBdr>
                <w:top w:val="none" w:sz="0" w:space="0" w:color="auto"/>
                <w:left w:val="none" w:sz="0" w:space="0" w:color="auto"/>
                <w:bottom w:val="none" w:sz="0" w:space="0" w:color="auto"/>
                <w:right w:val="none" w:sz="0" w:space="0" w:color="auto"/>
              </w:divBdr>
              <w:divsChild>
                <w:div w:id="16402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9003">
      <w:bodyDiv w:val="1"/>
      <w:marLeft w:val="0"/>
      <w:marRight w:val="0"/>
      <w:marTop w:val="0"/>
      <w:marBottom w:val="0"/>
      <w:divBdr>
        <w:top w:val="none" w:sz="0" w:space="0" w:color="auto"/>
        <w:left w:val="none" w:sz="0" w:space="0" w:color="auto"/>
        <w:bottom w:val="none" w:sz="0" w:space="0" w:color="auto"/>
        <w:right w:val="none" w:sz="0" w:space="0" w:color="auto"/>
      </w:divBdr>
    </w:div>
    <w:div w:id="1461218443">
      <w:bodyDiv w:val="1"/>
      <w:marLeft w:val="0"/>
      <w:marRight w:val="0"/>
      <w:marTop w:val="0"/>
      <w:marBottom w:val="0"/>
      <w:divBdr>
        <w:top w:val="none" w:sz="0" w:space="0" w:color="auto"/>
        <w:left w:val="none" w:sz="0" w:space="0" w:color="auto"/>
        <w:bottom w:val="none" w:sz="0" w:space="0" w:color="auto"/>
        <w:right w:val="none" w:sz="0" w:space="0" w:color="auto"/>
      </w:divBdr>
    </w:div>
    <w:div w:id="1578636023">
      <w:bodyDiv w:val="1"/>
      <w:marLeft w:val="0"/>
      <w:marRight w:val="0"/>
      <w:marTop w:val="0"/>
      <w:marBottom w:val="0"/>
      <w:divBdr>
        <w:top w:val="none" w:sz="0" w:space="0" w:color="auto"/>
        <w:left w:val="none" w:sz="0" w:space="0" w:color="auto"/>
        <w:bottom w:val="none" w:sz="0" w:space="0" w:color="auto"/>
        <w:right w:val="none" w:sz="0" w:space="0" w:color="auto"/>
      </w:divBdr>
    </w:div>
    <w:div w:id="1848791813">
      <w:bodyDiv w:val="1"/>
      <w:marLeft w:val="0"/>
      <w:marRight w:val="0"/>
      <w:marTop w:val="0"/>
      <w:marBottom w:val="0"/>
      <w:divBdr>
        <w:top w:val="none" w:sz="0" w:space="0" w:color="auto"/>
        <w:left w:val="none" w:sz="0" w:space="0" w:color="auto"/>
        <w:bottom w:val="none" w:sz="0" w:space="0" w:color="auto"/>
        <w:right w:val="none" w:sz="0" w:space="0" w:color="auto"/>
      </w:divBdr>
    </w:div>
    <w:div w:id="1977055405">
      <w:bodyDiv w:val="1"/>
      <w:marLeft w:val="0"/>
      <w:marRight w:val="0"/>
      <w:marTop w:val="0"/>
      <w:marBottom w:val="0"/>
      <w:divBdr>
        <w:top w:val="none" w:sz="0" w:space="0" w:color="auto"/>
        <w:left w:val="none" w:sz="0" w:space="0" w:color="auto"/>
        <w:bottom w:val="none" w:sz="0" w:space="0" w:color="auto"/>
        <w:right w:val="none" w:sz="0" w:space="0" w:color="auto"/>
      </w:divBdr>
      <w:divsChild>
        <w:div w:id="395397035">
          <w:marLeft w:val="0"/>
          <w:marRight w:val="0"/>
          <w:marTop w:val="0"/>
          <w:marBottom w:val="0"/>
          <w:divBdr>
            <w:top w:val="none" w:sz="0" w:space="0" w:color="auto"/>
            <w:left w:val="none" w:sz="0" w:space="0" w:color="auto"/>
            <w:bottom w:val="none" w:sz="0" w:space="0" w:color="auto"/>
            <w:right w:val="none" w:sz="0" w:space="0" w:color="auto"/>
          </w:divBdr>
          <w:divsChild>
            <w:div w:id="1054888032">
              <w:marLeft w:val="0"/>
              <w:marRight w:val="0"/>
              <w:marTop w:val="0"/>
              <w:marBottom w:val="0"/>
              <w:divBdr>
                <w:top w:val="none" w:sz="0" w:space="0" w:color="auto"/>
                <w:left w:val="none" w:sz="0" w:space="0" w:color="auto"/>
                <w:bottom w:val="none" w:sz="0" w:space="0" w:color="auto"/>
                <w:right w:val="none" w:sz="0" w:space="0" w:color="auto"/>
              </w:divBdr>
              <w:divsChild>
                <w:div w:id="14049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177">
      <w:bodyDiv w:val="1"/>
      <w:marLeft w:val="0"/>
      <w:marRight w:val="0"/>
      <w:marTop w:val="0"/>
      <w:marBottom w:val="0"/>
      <w:divBdr>
        <w:top w:val="none" w:sz="0" w:space="0" w:color="auto"/>
        <w:left w:val="none" w:sz="0" w:space="0" w:color="auto"/>
        <w:bottom w:val="none" w:sz="0" w:space="0" w:color="auto"/>
        <w:right w:val="none" w:sz="0" w:space="0" w:color="auto"/>
      </w:divBdr>
    </w:div>
    <w:div w:id="206112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oodfellow@liverpool.ac.uk" TargetMode="External"/><Relationship Id="rId13" Type="http://schemas.openxmlformats.org/officeDocument/2006/relationships/image" Target="media/image2.tiff"/><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dx.doi.org/10.17638/datacat.liverpool.ac.uk/1311"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40353-AF55-4640-8FE1-7B89DDD7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43012</Words>
  <Characters>252912</Characters>
  <Application>Microsoft Office Word</Application>
  <DocSecurity>0</DocSecurity>
  <Lines>7226</Lines>
  <Paragraphs>3251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292673</CharactersWithSpaces>
  <SharedDoc>false</SharedDoc>
  <HLinks>
    <vt:vector size="12" baseType="variant">
      <vt:variant>
        <vt:i4>6094892</vt:i4>
      </vt:variant>
      <vt:variant>
        <vt:i4>3</vt:i4>
      </vt:variant>
      <vt:variant>
        <vt:i4>0</vt:i4>
      </vt:variant>
      <vt:variant>
        <vt:i4>5</vt:i4>
      </vt:variant>
      <vt:variant>
        <vt:lpwstr>http://cgr.liv.ac.uk/illum/LIMS12450raw170504_665468e38f7de302</vt:lpwstr>
      </vt:variant>
      <vt:variant>
        <vt:lpwstr/>
      </vt:variant>
      <vt:variant>
        <vt:i4>524335</vt:i4>
      </vt:variant>
      <vt:variant>
        <vt:i4>0</vt:i4>
      </vt:variant>
      <vt:variant>
        <vt:i4>0</vt:i4>
      </vt:variant>
      <vt:variant>
        <vt:i4>5</vt:i4>
      </vt:variant>
      <vt:variant>
        <vt:lpwstr>http://cgr.liv.ac.uk/illum/LIMS16156raw180525_9f046988b738dd1f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Goodfellow</dc:creator>
  <cp:keywords/>
  <dc:description/>
  <cp:lastModifiedBy>Laura Goodfellow</cp:lastModifiedBy>
  <cp:revision>2</cp:revision>
  <dcterms:created xsi:type="dcterms:W3CDTF">2021-06-17T22:13:00Z</dcterms:created>
  <dcterms:modified xsi:type="dcterms:W3CDTF">2021-06-17T22:13:00Z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http://www.zotero.org/styles/acta-physiologica</vt:lpwstr>
  </property>
  <property fmtid="{D5CDD505-2E9C-101B-9397-08002B2CF9AE}" pid="3" name="Mendeley Recent Style Name 0_1">
    <vt:lpwstr>Acta Physiologica</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http://www.zotero.org/styles/bjog</vt:lpwstr>
  </property>
  <property fmtid="{D5CDD505-2E9C-101B-9397-08002B2CF9AE}" pid="9" name="Mendeley Recent Style Name 3_1">
    <vt:lpwstr>BJOG</vt:lpwstr>
  </property>
  <property fmtid="{D5CDD505-2E9C-101B-9397-08002B2CF9AE}" pid="10" name="Mendeley Recent Style Id 4_1">
    <vt:lpwstr>http://www.zotero.org/styles/bmj</vt:lpwstr>
  </property>
  <property fmtid="{D5CDD505-2E9C-101B-9397-08002B2CF9AE}" pid="11" name="Mendeley Recent Style Name 4_1">
    <vt:lpwstr>BMJ</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http://www.zotero.org/styles/university-of-york-vancouver</vt:lpwstr>
  </property>
  <property fmtid="{D5CDD505-2E9C-101B-9397-08002B2CF9AE}" pid="17" name="Mendeley Recent Style Name 7_1">
    <vt:lpwstr>University of York - Vancouver</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http://csl.mendeley.com/styles/529501691/vancouver</vt:lpwstr>
  </property>
  <property fmtid="{D5CDD505-2E9C-101B-9397-08002B2CF9AE}" pid="21" name="Mendeley Recent Style Name 9_1">
    <vt:lpwstr>Vancouver - Laura Goodfellow</vt:lpwstr>
  </property>
  <property fmtid="{D5CDD505-2E9C-101B-9397-08002B2CF9AE}" pid="22" name="Mendeley Document_1">
    <vt:lpwstr>True</vt:lpwstr>
  </property>
  <property fmtid="{D5CDD505-2E9C-101B-9397-08002B2CF9AE}" pid="23" name="Mendeley Unique User Id_1">
    <vt:lpwstr>0f8bb9cf-28a7-3388-b9b0-e8932b932db2</vt:lpwstr>
  </property>
  <property fmtid="{D5CDD505-2E9C-101B-9397-08002B2CF9AE}" pid="24" name="Mendeley Citation Style_1">
    <vt:lpwstr>http://www.zotero.org/styles/american-medical-association</vt:lpwstr>
  </property>
</Properties>
</file>